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4A69C">
      <w:pPr>
        <w:ind w:firstLine="0" w:firstLineChars="0"/>
        <w:rPr>
          <w:rFonts w:ascii="黑体" w:hAnsi="黑体" w:eastAsia="黑体" w:cs="黑体"/>
          <w:szCs w:val="32"/>
          <w:lang w:eastAsia="zh-CN"/>
        </w:rPr>
      </w:pPr>
      <w:r>
        <w:rPr>
          <w:rFonts w:hint="eastAsia" w:ascii="黑体" w:hAnsi="黑体" w:eastAsia="黑体" w:cs="黑体"/>
          <w:szCs w:val="32"/>
          <w:lang w:eastAsia="zh-CN"/>
        </w:rPr>
        <w:t>附件1</w:t>
      </w:r>
      <w:bookmarkStart w:id="1" w:name="_GoBack"/>
      <w:bookmarkEnd w:id="1"/>
    </w:p>
    <w:p w14:paraId="6375F82D">
      <w:pPr>
        <w:ind w:firstLine="0" w:firstLineChars="0"/>
        <w:jc w:val="center"/>
        <w:rPr>
          <w:rFonts w:hint="eastAsia" w:ascii="仿宋" w:hAnsi="仿宋" w:eastAsia="仿宋" w:cs="仿宋"/>
          <w:sz w:val="32"/>
          <w:szCs w:val="32"/>
          <w:lang w:eastAsia="zh-CN"/>
        </w:rPr>
      </w:pPr>
    </w:p>
    <w:p w14:paraId="7435A2F0">
      <w:pPr>
        <w:ind w:firstLine="0" w:firstLineChars="0"/>
        <w:jc w:val="center"/>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z w:val="44"/>
          <w:szCs w:val="44"/>
          <w:lang w:eastAsia="zh-CN"/>
        </w:rPr>
        <w:t>珠海市公共租赁住房管理办法（修订稿）</w:t>
      </w:r>
    </w:p>
    <w:p w14:paraId="05DE8553">
      <w:pPr>
        <w:pStyle w:val="20"/>
        <w:ind w:firstLine="0" w:firstLineChars="0"/>
        <w:jc w:val="center"/>
        <w:outlineLvl w:val="0"/>
        <w:rPr>
          <w:rFonts w:ascii="黑体" w:hAnsi="黑体" w:eastAsia="黑体" w:cs="黑体"/>
          <w:sz w:val="32"/>
          <w:szCs w:val="32"/>
          <w:shd w:val="clear" w:color="auto" w:fill="FFFFFF"/>
          <w:lang w:bidi="ar"/>
        </w:rPr>
      </w:pPr>
    </w:p>
    <w:p w14:paraId="3ACA0F7F">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第一章  总  则</w:t>
      </w:r>
    </w:p>
    <w:p w14:paraId="75D87057">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第一条  </w:t>
      </w:r>
      <w:r>
        <w:rPr>
          <w:rFonts w:ascii="仿宋" w:hAnsi="仿宋" w:cs="仿宋"/>
          <w:snapToGrid/>
          <w:color w:val="auto"/>
          <w:szCs w:val="32"/>
          <w:shd w:val="clear" w:color="auto" w:fill="FFFFFF"/>
          <w:lang w:eastAsia="zh-CN" w:bidi="ar"/>
        </w:rPr>
        <w:t>为完善本市住房保障体系，规范公共租赁住房建  设、分配和管理，根据有关法律、法规，结合本市实际，制定  本办法。</w:t>
      </w:r>
    </w:p>
    <w:p w14:paraId="7F1CBDED">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第二条  </w:t>
      </w:r>
      <w:r>
        <w:rPr>
          <w:rFonts w:ascii="仿宋" w:hAnsi="仿宋" w:cs="仿宋"/>
          <w:snapToGrid/>
          <w:color w:val="auto"/>
          <w:szCs w:val="32"/>
          <w:shd w:val="clear" w:color="auto" w:fill="FFFFFF"/>
          <w:lang w:eastAsia="zh-CN" w:bidi="ar"/>
        </w:rPr>
        <w:t>本办法适用于本市行政区域内公共租赁住房的规划、建设、房源筹集、分配和监督管理等活动。</w:t>
      </w:r>
    </w:p>
    <w:p w14:paraId="08C550A4">
      <w:pPr>
        <w:kinsoku/>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公共</w:t>
      </w:r>
      <w:r>
        <w:rPr>
          <w:rFonts w:hint="eastAsia" w:ascii="仿宋" w:hAnsi="仿宋" w:cs="仿宋"/>
          <w:snapToGrid/>
          <w:color w:val="auto"/>
          <w:szCs w:val="32"/>
          <w:shd w:val="clear" w:color="auto" w:fill="FFFFFF"/>
          <w:lang w:eastAsia="zh-CN" w:bidi="ar"/>
        </w:rPr>
        <w:t>租赁住房保障工作坚持政府主导、社会参与、政策扶持、公平公正、因地制宜的原则。</w:t>
      </w:r>
    </w:p>
    <w:p w14:paraId="1C2CEA4B">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第四条 </w:t>
      </w:r>
      <w:r>
        <w:rPr>
          <w:rFonts w:ascii="仿宋" w:hAnsi="仿宋" w:cs="仿宋"/>
          <w:snapToGrid/>
          <w:color w:val="auto"/>
          <w:szCs w:val="32"/>
          <w:shd w:val="clear" w:color="auto" w:fill="FFFFFF"/>
          <w:lang w:eastAsia="zh-CN" w:bidi="ar"/>
        </w:rPr>
        <w:t xml:space="preserve"> 本办法</w:t>
      </w:r>
      <w:r>
        <w:rPr>
          <w:rFonts w:hint="eastAsia" w:ascii="仿宋" w:hAnsi="仿宋" w:cs="仿宋"/>
          <w:snapToGrid/>
          <w:color w:val="auto"/>
          <w:szCs w:val="32"/>
          <w:shd w:val="clear" w:color="auto" w:fill="FFFFFF"/>
          <w:lang w:eastAsia="zh-CN" w:bidi="ar"/>
        </w:rPr>
        <w:t>称公共租赁住房，是指限定建设标准和租金水平，面向</w:t>
      </w:r>
      <w:r>
        <w:rPr>
          <w:rFonts w:hint="eastAsia" w:ascii="仿宋" w:hAnsi="仿宋" w:cs="仿宋"/>
          <w:snapToGrid/>
          <w:color w:val="000000" w:themeColor="text1"/>
          <w:szCs w:val="32"/>
          <w:shd w:val="clear" w:color="auto" w:fill="FFFFFF"/>
          <w:lang w:eastAsia="zh-CN" w:bidi="ar"/>
          <w14:textFill>
            <w14:solidFill>
              <w14:schemeClr w14:val="tx1"/>
            </w14:solidFill>
          </w14:textFill>
        </w:rPr>
        <w:t>本市</w:t>
      </w:r>
      <w:r>
        <w:rPr>
          <w:rFonts w:hint="eastAsia" w:ascii="仿宋" w:hAnsi="仿宋" w:cs="仿宋"/>
          <w:snapToGrid/>
          <w:color w:val="auto"/>
          <w:szCs w:val="32"/>
          <w:shd w:val="clear" w:color="auto" w:fill="FFFFFF"/>
          <w:lang w:eastAsia="zh-CN" w:bidi="ar"/>
        </w:rPr>
        <w:t>低收入住房困难家庭、较低收入住房困难家庭和就业人员等对象出租的保障性住房。</w:t>
      </w:r>
    </w:p>
    <w:p w14:paraId="16B47DC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公共租赁住房可以通过新建、改建、收购、长期租赁等多种方式筹集，可以由政府投资，也可以由政府提供政策支持、社会力量投资。</w:t>
      </w:r>
    </w:p>
    <w:p w14:paraId="6AEB8B4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公共租赁住房可以是成套住房，也可以是宿舍型住房。</w:t>
      </w:r>
    </w:p>
    <w:p w14:paraId="6AC20A19">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第五条  </w:t>
      </w:r>
      <w:r>
        <w:rPr>
          <w:rFonts w:hint="eastAsia" w:ascii="仿宋" w:hAnsi="仿宋" w:cs="仿宋"/>
          <w:snapToGrid/>
          <w:color w:val="auto"/>
          <w:szCs w:val="32"/>
          <w:shd w:val="clear" w:color="auto" w:fill="FFFFFF"/>
          <w:lang w:eastAsia="zh-CN" w:bidi="ar"/>
        </w:rPr>
        <w:t>市住房保障主管部门负责统筹公共租赁住房的政策制定、目标责任落实等工作，指导监督区住房保障工作。</w:t>
      </w:r>
    </w:p>
    <w:p w14:paraId="3B7A904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区住房保障主管部门负责统筹辖区公共租赁住房的房源筹集与分配、需求申报、资格审查、在保对象和轮候对象相关信息录入和更新、租赁补贴发放或实物配租以及退出管理等工作，指导监督镇人民政府（街道办事处）住房保障相关工作。各级住房保障管理机构负责承办各级政府</w:t>
      </w:r>
      <w:r>
        <w:rPr>
          <w:rFonts w:ascii="仿宋" w:hAnsi="仿宋" w:cs="仿宋"/>
          <w:snapToGrid/>
          <w:color w:val="auto"/>
          <w:szCs w:val="32"/>
          <w:shd w:val="clear" w:color="auto" w:fill="FFFFFF"/>
          <w:lang w:eastAsia="zh-CN" w:bidi="ar"/>
        </w:rPr>
        <w:t>投资的公共租赁住房项目建设、房源使用管理服务工作。</w:t>
      </w:r>
    </w:p>
    <w:p w14:paraId="119A441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镇人民政府（街道办事处）负责做好辖区公共租赁住房需求申报统计、申请受理、入户调查和预审以及信息录入，协助区住房保障主管部门和公共租赁住房运营管理单位以及产权单位做好实物配租家庭租金追缴、房源清理腾退等工作。</w:t>
      </w:r>
    </w:p>
    <w:p w14:paraId="06B3384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资格初审中涉及其他部门审核的内容，原则由区住房保障主管部门向各相关部门发函核查，如确需由市一级方能核查的，由市住房保障管理机构向各相关部门发函进行核查。</w:t>
      </w:r>
    </w:p>
    <w:p w14:paraId="7B360DF4">
      <w:pPr>
        <w:pStyle w:val="20"/>
        <w:ind w:firstLine="711"/>
        <w:rPr>
          <w:rFonts w:hint="eastAsia" w:ascii="仿宋" w:hAnsi="仿宋" w:eastAsia="仿宋" w:cs="仿宋"/>
          <w:kern w:val="0"/>
          <w:sz w:val="32"/>
          <w:szCs w:val="32"/>
          <w:shd w:val="clear" w:color="auto" w:fill="FFFFFF"/>
          <w:lang w:bidi="ar"/>
        </w:rPr>
      </w:pPr>
      <w:r>
        <w:rPr>
          <w:rFonts w:hint="eastAsia" w:ascii="仿宋" w:hAnsi="仿宋" w:eastAsia="仿宋" w:cs="仿宋"/>
          <w:b/>
          <w:sz w:val="32"/>
          <w:szCs w:val="32"/>
          <w:shd w:val="clear" w:color="auto" w:fill="FFFFFF"/>
          <w:lang w:bidi="ar"/>
        </w:rPr>
        <w:t>第六条</w:t>
      </w:r>
      <w:r>
        <w:rPr>
          <w:rFonts w:hint="eastAsia" w:ascii="仿宋" w:hAnsi="仿宋" w:eastAsia="仿宋" w:cs="仿宋"/>
          <w:sz w:val="32"/>
          <w:szCs w:val="32"/>
          <w:shd w:val="clear" w:color="auto" w:fill="FFFFFF"/>
          <w:lang w:bidi="ar"/>
        </w:rPr>
        <w:t xml:space="preserve">  </w:t>
      </w:r>
      <w:r>
        <w:rPr>
          <w:rFonts w:hint="eastAsia" w:ascii="仿宋" w:hAnsi="仿宋" w:eastAsia="仿宋" w:cs="仿宋"/>
          <w:kern w:val="0"/>
          <w:sz w:val="32"/>
          <w:szCs w:val="32"/>
          <w:shd w:val="clear" w:color="auto" w:fill="FFFFFF"/>
          <w:lang w:bidi="ar"/>
        </w:rPr>
        <w:t>市发展改革、财政、自然资源、退役军人事务、统计等部门按照各自职责负责公共租赁住房的相关工作。</w:t>
      </w:r>
    </w:p>
    <w:p w14:paraId="62D0304D">
      <w:pPr>
        <w:pStyle w:val="20"/>
        <w:ind w:firstLine="708"/>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市民政、公安、人力资源社会保障、税务、不动产登记、住房公积金等部门按照各自职责协同做好公共租赁住房申请人及共同申请人低保、户籍、车辆、社保缴纳、纳税、</w:t>
      </w:r>
      <w:r>
        <w:rPr>
          <w:rFonts w:hint="eastAsia" w:ascii="仿宋" w:hAnsi="仿宋" w:eastAsia="仿宋" w:cs="仿宋"/>
          <w:kern w:val="0"/>
          <w:sz w:val="32"/>
          <w:szCs w:val="32"/>
          <w:shd w:val="clear" w:color="auto" w:fill="FFFFFF"/>
          <w:lang w:eastAsia="zh-CN" w:bidi="ar"/>
        </w:rPr>
        <w:t>不动产</w:t>
      </w:r>
      <w:r>
        <w:rPr>
          <w:rFonts w:hint="eastAsia" w:ascii="仿宋" w:hAnsi="仿宋" w:eastAsia="仿宋" w:cs="仿宋"/>
          <w:kern w:val="0"/>
          <w:sz w:val="32"/>
          <w:szCs w:val="32"/>
          <w:shd w:val="clear" w:color="auto" w:fill="FFFFFF"/>
          <w:lang w:bidi="ar"/>
        </w:rPr>
        <w:t>、公积金缴纳等核查工作。</w:t>
      </w:r>
    </w:p>
    <w:p w14:paraId="380B1D62">
      <w:pPr>
        <w:pStyle w:val="20"/>
        <w:ind w:firstLine="711"/>
        <w:rPr>
          <w:rFonts w:ascii="仿宋" w:hAnsi="仿宋" w:cs="仿宋"/>
          <w:szCs w:val="32"/>
          <w:shd w:val="clear" w:color="auto" w:fill="FFFFFF"/>
          <w:lang w:bidi="ar"/>
        </w:rPr>
      </w:pPr>
      <w:r>
        <w:rPr>
          <w:rFonts w:hint="eastAsia" w:ascii="仿宋" w:hAnsi="仿宋" w:eastAsia="仿宋" w:cs="仿宋"/>
          <w:b/>
          <w:sz w:val="32"/>
          <w:szCs w:val="32"/>
          <w:shd w:val="clear" w:color="auto" w:fill="FFFFFF"/>
          <w:lang w:bidi="ar"/>
        </w:rPr>
        <w:t>第七条</w:t>
      </w:r>
      <w:r>
        <w:rPr>
          <w:rFonts w:hint="eastAsia" w:ascii="仿宋" w:hAnsi="仿宋" w:eastAsia="仿宋" w:cs="仿宋"/>
          <w:sz w:val="32"/>
          <w:szCs w:val="32"/>
          <w:shd w:val="clear" w:color="auto" w:fill="FFFFFF"/>
          <w:lang w:bidi="ar"/>
        </w:rPr>
        <w:t xml:space="preserve">  </w:t>
      </w:r>
      <w:r>
        <w:rPr>
          <w:rFonts w:hint="eastAsia" w:ascii="仿宋" w:hAnsi="仿宋" w:eastAsia="仿宋" w:cs="仿宋"/>
          <w:kern w:val="0"/>
          <w:sz w:val="32"/>
          <w:szCs w:val="32"/>
          <w:shd w:val="clear" w:color="auto" w:fill="FFFFFF"/>
          <w:lang w:bidi="ar"/>
        </w:rPr>
        <w:t>珠海市保障性住房管理平台（以下简称市保障房平台）为本市公共租赁住房信息统一发布平台，市、区</w:t>
      </w:r>
      <w:r>
        <w:rPr>
          <w:rFonts w:hint="eastAsia" w:ascii="仿宋" w:hAnsi="仿宋" w:eastAsia="仿宋" w:cs="仿宋"/>
          <w:kern w:val="0"/>
          <w:sz w:val="32"/>
          <w:szCs w:val="32"/>
          <w:shd w:val="clear" w:color="auto" w:fill="FFFFFF"/>
          <w:lang w:eastAsia="zh-CN" w:bidi="ar"/>
        </w:rPr>
        <w:t>住房保障主管</w:t>
      </w:r>
      <w:r>
        <w:rPr>
          <w:rFonts w:hint="eastAsia" w:ascii="仿宋" w:hAnsi="仿宋" w:eastAsia="仿宋" w:cs="仿宋"/>
          <w:kern w:val="0"/>
          <w:sz w:val="32"/>
          <w:szCs w:val="32"/>
          <w:shd w:val="clear" w:color="auto" w:fill="FFFFFF"/>
          <w:lang w:bidi="ar"/>
        </w:rPr>
        <w:t>部门和住房保障管理机构应及时更新相关信息。</w:t>
      </w:r>
    </w:p>
    <w:p w14:paraId="0160238E">
      <w:pPr>
        <w:kinsoku/>
        <w:autoSpaceDE/>
        <w:autoSpaceDN/>
        <w:adjustRightInd/>
        <w:snapToGrid/>
        <w:ind w:firstLine="640"/>
        <w:textAlignment w:val="auto"/>
        <w:rPr>
          <w:rFonts w:ascii="仿宋" w:hAnsi="仿宋" w:cs="仿宋"/>
          <w:szCs w:val="32"/>
          <w:shd w:val="clear" w:color="auto" w:fill="FFFFFF"/>
          <w:lang w:eastAsia="zh-CN" w:bidi="ar"/>
        </w:rPr>
      </w:pPr>
      <w:r>
        <w:rPr>
          <w:rFonts w:hint="eastAsia" w:ascii="仿宋" w:hAnsi="仿宋" w:cs="仿宋"/>
          <w:snapToGrid/>
          <w:color w:val="auto"/>
          <w:szCs w:val="32"/>
          <w:shd w:val="clear" w:color="auto" w:fill="FFFFFF"/>
          <w:lang w:eastAsia="zh-CN" w:bidi="ar"/>
        </w:rPr>
        <w:t>金融、公安、民政、社会保险、不动产登记、税务</w:t>
      </w:r>
      <w:r>
        <w:rPr>
          <w:rFonts w:hint="eastAsia" w:ascii="仿宋" w:hAnsi="仿宋" w:cs="仿宋"/>
          <w:szCs w:val="32"/>
          <w:shd w:val="clear" w:color="auto" w:fill="FFFFFF"/>
          <w:lang w:eastAsia="zh-CN" w:bidi="ar"/>
        </w:rPr>
        <w:t>等信息平台应逐步实现与市保障房平台的数据共享。</w:t>
      </w:r>
    </w:p>
    <w:p w14:paraId="4CF3CDCB">
      <w:pPr>
        <w:ind w:firstLine="640"/>
        <w:rPr>
          <w:snapToGrid/>
          <w:szCs w:val="32"/>
          <w:lang w:eastAsia="zh-CN" w:bidi="ar"/>
        </w:rPr>
      </w:pPr>
    </w:p>
    <w:p w14:paraId="18F565FB">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w:t>
      </w:r>
      <w:r>
        <w:rPr>
          <w:rFonts w:hint="eastAsia" w:ascii="黑体" w:hAnsi="黑体" w:eastAsia="黑体" w:cs="黑体"/>
          <w:sz w:val="32"/>
          <w:szCs w:val="32"/>
          <w:shd w:val="clear" w:color="auto" w:fill="FFFFFF"/>
          <w:lang w:bidi="ar"/>
        </w:rPr>
        <w:t>二</w:t>
      </w:r>
      <w:r>
        <w:rPr>
          <w:rFonts w:ascii="黑体" w:hAnsi="黑体" w:eastAsia="黑体" w:cs="黑体"/>
          <w:sz w:val="32"/>
          <w:szCs w:val="32"/>
          <w:shd w:val="clear" w:color="auto" w:fill="FFFFFF"/>
          <w:lang w:bidi="ar"/>
        </w:rPr>
        <w:t xml:space="preserve">章  </w:t>
      </w:r>
      <w:r>
        <w:rPr>
          <w:rFonts w:hint="eastAsia" w:ascii="黑体" w:hAnsi="黑体" w:eastAsia="黑体" w:cs="黑体"/>
          <w:sz w:val="32"/>
          <w:szCs w:val="32"/>
          <w:shd w:val="clear" w:color="auto" w:fill="FFFFFF"/>
          <w:lang w:bidi="ar"/>
        </w:rPr>
        <w:t>规划、建设与房源筹集</w:t>
      </w:r>
    </w:p>
    <w:p w14:paraId="0627985A">
      <w:pPr>
        <w:kinsoku/>
        <w:topLinePunct/>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w:t>
      </w:r>
      <w:r>
        <w:rPr>
          <w:rFonts w:ascii="仿宋" w:hAnsi="仿宋" w:cs="仿宋"/>
          <w:b/>
          <w:snapToGrid/>
          <w:color w:val="auto"/>
          <w:szCs w:val="32"/>
          <w:shd w:val="clear" w:color="auto" w:fill="FFFFFF"/>
          <w:lang w:eastAsia="zh-CN" w:bidi="ar"/>
        </w:rPr>
        <w:t>八</w:t>
      </w:r>
      <w:r>
        <w:rPr>
          <w:rFonts w:hint="eastAsia"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市、区住房保障主管部门应当会同相关部门，</w:t>
      </w:r>
      <w:r>
        <w:rPr>
          <w:rFonts w:hint="eastAsia" w:ascii="仿宋" w:hAnsi="仿宋" w:cs="仿宋"/>
          <w:snapToGrid/>
          <w:color w:val="auto"/>
          <w:szCs w:val="32"/>
          <w:shd w:val="clear" w:color="auto" w:fill="FFFFFF"/>
          <w:lang w:eastAsia="zh-CN" w:bidi="ar"/>
        </w:rPr>
        <w:t>根据本市住房发展规划以及区住房保障实际需求，制定公共租赁住房年度保障计划，</w:t>
      </w:r>
      <w:r>
        <w:rPr>
          <w:rFonts w:ascii="仿宋" w:hAnsi="仿宋" w:cs="仿宋"/>
          <w:snapToGrid/>
          <w:color w:val="auto"/>
          <w:szCs w:val="32"/>
          <w:shd w:val="clear" w:color="auto" w:fill="FFFFFF"/>
          <w:lang w:eastAsia="zh-CN" w:bidi="ar"/>
        </w:rPr>
        <w:t>经市、区人民政府批准后</w:t>
      </w:r>
      <w:r>
        <w:rPr>
          <w:rFonts w:hint="eastAsia" w:ascii="仿宋" w:hAnsi="仿宋" w:cs="仿宋"/>
          <w:snapToGrid/>
          <w:color w:val="auto"/>
          <w:szCs w:val="32"/>
          <w:shd w:val="clear" w:color="auto" w:fill="FFFFFF"/>
          <w:lang w:eastAsia="zh-CN" w:bidi="ar"/>
        </w:rPr>
        <w:t>印发</w:t>
      </w:r>
      <w:r>
        <w:rPr>
          <w:rFonts w:ascii="仿宋" w:hAnsi="仿宋" w:cs="仿宋"/>
          <w:snapToGrid/>
          <w:color w:val="auto"/>
          <w:szCs w:val="32"/>
          <w:shd w:val="clear" w:color="auto" w:fill="FFFFFF"/>
          <w:lang w:eastAsia="zh-CN" w:bidi="ar"/>
        </w:rPr>
        <w:t>实施。</w:t>
      </w:r>
    </w:p>
    <w:p w14:paraId="376EBEFD">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第九条</w:t>
      </w:r>
      <w:r>
        <w:rPr>
          <w:rFonts w:hint="eastAsia" w:ascii="仿宋" w:hAnsi="仿宋" w:cs="仿宋"/>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公共租赁住房项目规划应当遵循合理布局、完善配套、有利生产、方便生活的原则。公共租赁住房项目可以规划建设一定比例的配套商业服务设施，由住房保障管理机构或产权单位统一经营管理。</w:t>
      </w:r>
    </w:p>
    <w:p w14:paraId="1A119861">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第十条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市、区人民政府应当建立保障性住房土地储备制度。列入保障性住房土地储备计划的用地，非经法定程序不得改变用地性质。</w:t>
      </w:r>
    </w:p>
    <w:p w14:paraId="243F8165">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公共租赁住房年度建设用地计划应当纳入市人民政府年度土地供应计划，</w:t>
      </w:r>
      <w:r>
        <w:rPr>
          <w:rFonts w:hint="eastAsia" w:ascii="仿宋" w:hAnsi="仿宋" w:cs="仿宋"/>
          <w:snapToGrid/>
          <w:color w:val="auto"/>
          <w:szCs w:val="32"/>
          <w:shd w:val="clear" w:color="auto" w:fill="FFFFFF"/>
          <w:lang w:eastAsia="zh-CN" w:bidi="ar"/>
        </w:rPr>
        <w:t>并优先保障新增建设用地指标。</w:t>
      </w:r>
    </w:p>
    <w:p w14:paraId="371F0FFD">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第十一</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公共租赁住房的房源筹集来源包括：</w:t>
      </w:r>
    </w:p>
    <w:p w14:paraId="18FF70A2">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一）政府投资建设的公共租赁住房；</w:t>
      </w:r>
    </w:p>
    <w:p w14:paraId="239BE5D2">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二）</w:t>
      </w:r>
      <w:r>
        <w:rPr>
          <w:rFonts w:ascii="仿宋" w:hAnsi="仿宋" w:cs="仿宋"/>
          <w:snapToGrid/>
          <w:color w:val="auto"/>
          <w:szCs w:val="32"/>
          <w:shd w:val="clear" w:color="auto" w:fill="FFFFFF"/>
          <w:lang w:eastAsia="zh-CN" w:bidi="ar"/>
        </w:rPr>
        <w:t>政府提供政策支持由各类产业园区、企业配套建设的职工公寓和集体宿舍；</w:t>
      </w:r>
    </w:p>
    <w:p w14:paraId="6EF69780">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三）政府提供政策支持由企业投资建设或在商</w:t>
      </w:r>
      <w:r>
        <w:rPr>
          <w:rFonts w:ascii="仿宋" w:hAnsi="仿宋" w:cs="仿宋"/>
          <w:snapToGrid/>
          <w:color w:val="auto"/>
          <w:szCs w:val="32"/>
          <w:shd w:val="clear" w:color="auto" w:fill="FFFFFF"/>
          <w:lang w:eastAsia="zh-CN" w:bidi="ar"/>
        </w:rPr>
        <w:t>品住房开发项目和城市更新项目中配建的公共租赁住房；</w:t>
      </w:r>
    </w:p>
    <w:p w14:paraId="59484798">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四）</w:t>
      </w:r>
      <w:r>
        <w:rPr>
          <w:rFonts w:ascii="仿宋" w:hAnsi="仿宋" w:cs="仿宋"/>
          <w:snapToGrid/>
          <w:color w:val="auto"/>
          <w:szCs w:val="32"/>
          <w:shd w:val="clear" w:color="auto" w:fill="FFFFFF"/>
          <w:lang w:eastAsia="zh-CN" w:bidi="ar"/>
        </w:rPr>
        <w:t>利用农村留用地配套建设的公共租赁住房；</w:t>
      </w:r>
    </w:p>
    <w:p w14:paraId="59D82863">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五）</w:t>
      </w:r>
      <w:r>
        <w:rPr>
          <w:rFonts w:ascii="仿宋" w:hAnsi="仿宋" w:cs="仿宋"/>
          <w:snapToGrid/>
          <w:color w:val="auto"/>
          <w:szCs w:val="32"/>
          <w:shd w:val="clear" w:color="auto" w:fill="FFFFFF"/>
          <w:lang w:eastAsia="zh-CN" w:bidi="ar"/>
        </w:rPr>
        <w:t>政府购买、租赁的住房；</w:t>
      </w:r>
    </w:p>
    <w:p w14:paraId="477F23B5">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六）政府存量闲置政策性住房</w:t>
      </w:r>
      <w:r>
        <w:rPr>
          <w:rFonts w:ascii="仿宋" w:hAnsi="仿宋" w:cs="仿宋"/>
          <w:snapToGrid/>
          <w:color w:val="auto"/>
          <w:szCs w:val="32"/>
          <w:shd w:val="clear" w:color="auto" w:fill="FFFFFF"/>
          <w:lang w:eastAsia="zh-CN" w:bidi="ar"/>
        </w:rPr>
        <w:t>转作公共租赁住房；</w:t>
      </w:r>
    </w:p>
    <w:p w14:paraId="41392D8A">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七）</w:t>
      </w:r>
      <w:r>
        <w:rPr>
          <w:rFonts w:hint="eastAsia" w:ascii="仿宋" w:hAnsi="仿宋" w:cs="仿宋"/>
          <w:color w:val="auto"/>
          <w:szCs w:val="32"/>
          <w:lang w:eastAsia="zh-CN" w:bidi="ar"/>
        </w:rPr>
        <w:t>收购已建成未出售的其他住房转用为公共租赁住房；</w:t>
      </w:r>
    </w:p>
    <w:p w14:paraId="1692B359">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八）</w:t>
      </w:r>
      <w:r>
        <w:rPr>
          <w:rFonts w:ascii="仿宋" w:hAnsi="仿宋" w:cs="仿宋"/>
          <w:snapToGrid/>
          <w:color w:val="auto"/>
          <w:szCs w:val="32"/>
          <w:shd w:val="clear" w:color="auto" w:fill="FFFFFF"/>
          <w:lang w:eastAsia="zh-CN" w:bidi="ar"/>
        </w:rPr>
        <w:t>其他渠道筹集的住房。</w:t>
      </w:r>
    </w:p>
    <w:p w14:paraId="62E8C299">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第十二</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为加强公共租赁住房建设和运营管理的资金保障，市、区人民政府应当建立与本级公共租赁住房保障需求相适应的资金保障机制。</w:t>
      </w:r>
    </w:p>
    <w:p w14:paraId="31F2393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公共租赁住房资金的筹集渠道主要包括：</w:t>
      </w:r>
    </w:p>
    <w:p w14:paraId="5710752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（一）中央、省安排的专项资金；</w:t>
      </w:r>
    </w:p>
    <w:p w14:paraId="174526B8">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（二）市、区财政年度预算安排的资金，包括从土地出让净收益中提取资金；</w:t>
      </w:r>
    </w:p>
    <w:p w14:paraId="7E316A2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（三）提取贷款风险准备金和管理费用后的住房公积金增值收益；</w:t>
      </w:r>
    </w:p>
    <w:p w14:paraId="1970A11A">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（四）公共租赁住房和配套设施出租回收资金；</w:t>
      </w:r>
    </w:p>
    <w:p w14:paraId="2AB17DF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（五）利用商业贷款筹集资金；</w:t>
      </w:r>
    </w:p>
    <w:p w14:paraId="11652235">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（六）企业投入的自有资金；</w:t>
      </w:r>
    </w:p>
    <w:p w14:paraId="290097D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（七）村镇集体经济合作组织投入资金；</w:t>
      </w:r>
    </w:p>
    <w:p w14:paraId="43EC3A07">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（八）依照国家规定发行企业专项债券或新增地方政府专项债券；</w:t>
      </w:r>
    </w:p>
    <w:p w14:paraId="20BB7CE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（九）社会捐赠资金；</w:t>
      </w:r>
    </w:p>
    <w:p w14:paraId="1AFD562C">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（十）经政府批准可纳入住房保障资金的其他资金。</w:t>
      </w:r>
    </w:p>
    <w:p w14:paraId="2B8EB502">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第十</w:t>
      </w:r>
      <w:r>
        <w:rPr>
          <w:rFonts w:hint="eastAsia" w:ascii="仿宋" w:hAnsi="仿宋" w:cs="仿宋"/>
          <w:b/>
          <w:snapToGrid/>
          <w:color w:val="auto"/>
          <w:szCs w:val="32"/>
          <w:shd w:val="clear" w:color="auto" w:fill="FFFFFF"/>
          <w:lang w:eastAsia="zh-CN" w:bidi="ar"/>
        </w:rPr>
        <w:t>三</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政府投资新建的公共租赁住房项目，由住房保障主管部门或委托住房保障管理机构分别就项目立项、选址定点、建设规模等征求相关部门意见，报经同级人民政府同意后按照公共租赁住房建设要求实施。建设单位需按期推进项目建设并对工程进度、工程质量和资金使用安全负责。</w:t>
      </w:r>
    </w:p>
    <w:p w14:paraId="2E7D4779">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第十</w:t>
      </w:r>
      <w:r>
        <w:rPr>
          <w:rFonts w:hint="eastAsia" w:ascii="仿宋" w:hAnsi="仿宋" w:cs="仿宋"/>
          <w:b/>
          <w:snapToGrid/>
          <w:color w:val="auto"/>
          <w:szCs w:val="32"/>
          <w:shd w:val="clear" w:color="auto" w:fill="FFFFFF"/>
          <w:lang w:eastAsia="zh-CN" w:bidi="ar"/>
        </w:rPr>
        <w:t>四</w:t>
      </w:r>
      <w:r>
        <w:rPr>
          <w:rFonts w:ascii="仿宋" w:hAnsi="仿宋" w:cs="仿宋"/>
          <w:b/>
          <w:snapToGrid/>
          <w:color w:val="auto"/>
          <w:szCs w:val="32"/>
          <w:shd w:val="clear" w:color="auto" w:fill="FFFFFF"/>
          <w:lang w:eastAsia="zh-CN" w:bidi="ar"/>
        </w:rPr>
        <w:t xml:space="preserve">条  </w:t>
      </w:r>
      <w:r>
        <w:rPr>
          <w:rFonts w:ascii="仿宋" w:hAnsi="仿宋" w:cs="仿宋"/>
          <w:snapToGrid/>
          <w:color w:val="auto"/>
          <w:szCs w:val="32"/>
          <w:shd w:val="clear" w:color="auto" w:fill="FFFFFF"/>
          <w:lang w:eastAsia="zh-CN" w:bidi="ar"/>
        </w:rPr>
        <w:t>鼓励和支持企业</w:t>
      </w:r>
      <w:r>
        <w:rPr>
          <w:rFonts w:hint="eastAsia" w:ascii="仿宋" w:hAnsi="仿宋" w:cs="仿宋"/>
          <w:snapToGrid/>
          <w:color w:val="auto"/>
          <w:szCs w:val="32"/>
          <w:shd w:val="clear" w:color="auto" w:fill="FFFFFF"/>
          <w:lang w:eastAsia="zh-CN" w:bidi="ar"/>
        </w:rPr>
        <w:t>以及</w:t>
      </w:r>
      <w:r>
        <w:rPr>
          <w:rFonts w:ascii="仿宋" w:hAnsi="仿宋" w:cs="仿宋"/>
          <w:snapToGrid/>
          <w:color w:val="auto"/>
          <w:szCs w:val="32"/>
          <w:shd w:val="clear" w:color="auto" w:fill="FFFFFF"/>
          <w:lang w:eastAsia="zh-CN" w:bidi="ar"/>
        </w:rPr>
        <w:t>其他机构投资、建设、运营和管理公共租赁住房。</w:t>
      </w:r>
    </w:p>
    <w:p w14:paraId="2719990F">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企业投资建设公共租赁住房应当按照政府批准的建设计划、规划方案和人员准入与退出、租金标准、租赁期限等要求进行建设和管理</w:t>
      </w:r>
      <w:r>
        <w:rPr>
          <w:rFonts w:hint="eastAsia" w:ascii="仿宋" w:hAnsi="仿宋" w:cs="仿宋"/>
          <w:snapToGrid/>
          <w:color w:val="auto"/>
          <w:szCs w:val="32"/>
          <w:shd w:val="clear" w:color="auto" w:fill="FFFFFF"/>
          <w:lang w:eastAsia="zh-CN" w:bidi="ar"/>
        </w:rPr>
        <w:t>，</w:t>
      </w:r>
      <w:r>
        <w:rPr>
          <w:rFonts w:ascii="仿宋" w:hAnsi="仿宋" w:cs="仿宋"/>
          <w:snapToGrid/>
          <w:color w:val="auto"/>
          <w:szCs w:val="32"/>
          <w:shd w:val="clear" w:color="auto" w:fill="FFFFFF"/>
          <w:lang w:eastAsia="zh-CN" w:bidi="ar"/>
        </w:rPr>
        <w:t>并在土地出让合同中予以明确。</w:t>
      </w:r>
    </w:p>
    <w:p w14:paraId="128FDB6C">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第十</w:t>
      </w:r>
      <w:r>
        <w:rPr>
          <w:rFonts w:hint="eastAsia" w:ascii="仿宋" w:hAnsi="仿宋" w:cs="仿宋"/>
          <w:b/>
          <w:snapToGrid/>
          <w:color w:val="auto"/>
          <w:szCs w:val="32"/>
          <w:shd w:val="clear" w:color="auto" w:fill="FFFFFF"/>
          <w:lang w:eastAsia="zh-CN" w:bidi="ar"/>
        </w:rPr>
        <w:t>五</w:t>
      </w:r>
      <w:r>
        <w:rPr>
          <w:rFonts w:ascii="仿宋" w:hAnsi="仿宋" w:cs="仿宋"/>
          <w:b/>
          <w:snapToGrid/>
          <w:color w:val="auto"/>
          <w:szCs w:val="32"/>
          <w:shd w:val="clear" w:color="auto" w:fill="FFFFFF"/>
          <w:lang w:eastAsia="zh-CN" w:bidi="ar"/>
        </w:rPr>
        <w:t xml:space="preserve">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通过购买、租赁等方式筹集公共租赁住房的，由区人民政府根据政府采购相关规定实施。</w:t>
      </w:r>
    </w:p>
    <w:p w14:paraId="6AB81EF0">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第十</w:t>
      </w:r>
      <w:r>
        <w:rPr>
          <w:rFonts w:hint="eastAsia" w:ascii="仿宋" w:hAnsi="仿宋" w:cs="仿宋"/>
          <w:b/>
          <w:snapToGrid/>
          <w:color w:val="auto"/>
          <w:szCs w:val="32"/>
          <w:shd w:val="clear" w:color="auto" w:fill="FFFFFF"/>
          <w:lang w:eastAsia="zh-CN" w:bidi="ar"/>
        </w:rPr>
        <w:t>六</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新出让土地商品住房开发项目或城市更新项目  需配建公共租赁住房的，配建面积在</w:t>
      </w:r>
      <w:r>
        <w:rPr>
          <w:rFonts w:hint="eastAsia" w:ascii="仿宋" w:hAnsi="仿宋" w:cs="仿宋"/>
          <w:snapToGrid/>
          <w:color w:val="auto"/>
          <w:szCs w:val="32"/>
          <w:shd w:val="clear" w:color="auto" w:fill="FFFFFF"/>
          <w:lang w:eastAsia="zh-CN" w:bidi="ar"/>
        </w:rPr>
        <w:t>用地规划条件和土地出让合同中予以明确</w:t>
      </w:r>
      <w:r>
        <w:rPr>
          <w:rFonts w:ascii="仿宋" w:hAnsi="仿宋" w:cs="仿宋"/>
          <w:snapToGrid/>
          <w:color w:val="auto"/>
          <w:szCs w:val="32"/>
          <w:shd w:val="clear" w:color="auto" w:fill="FFFFFF"/>
          <w:lang w:eastAsia="zh-CN" w:bidi="ar"/>
        </w:rPr>
        <w:t>。</w:t>
      </w:r>
    </w:p>
    <w:p w14:paraId="181C006E">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配建的公共租赁住房应当在土地出让合同中明确约定，</w:t>
      </w:r>
      <w:r>
        <w:rPr>
          <w:rFonts w:hint="eastAsia" w:ascii="仿宋" w:hAnsi="仿宋" w:cs="仿宋"/>
          <w:snapToGrid/>
          <w:color w:val="auto"/>
          <w:szCs w:val="32"/>
          <w:shd w:val="clear" w:color="auto" w:fill="FFFFFF"/>
          <w:lang w:eastAsia="zh-CN" w:bidi="ar"/>
        </w:rPr>
        <w:t>其</w:t>
      </w:r>
      <w:r>
        <w:rPr>
          <w:rFonts w:ascii="仿宋" w:hAnsi="仿宋" w:cs="仿宋"/>
          <w:snapToGrid/>
          <w:color w:val="auto"/>
          <w:szCs w:val="32"/>
          <w:shd w:val="clear" w:color="auto" w:fill="FFFFFF"/>
          <w:lang w:eastAsia="zh-CN" w:bidi="ar"/>
        </w:rPr>
        <w:t>产权无偿归政府所有。</w:t>
      </w:r>
    </w:p>
    <w:p w14:paraId="17BBC34B">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配建的公共租赁住房应当与项目同步规划、同步建设、同步交付使用。</w:t>
      </w:r>
    </w:p>
    <w:p w14:paraId="0F039359">
      <w:pPr>
        <w:ind w:firstLine="643"/>
        <w:rPr>
          <w:rFonts w:ascii="仿宋" w:hAnsi="仿宋" w:cs="仿宋"/>
          <w:b/>
          <w:snapToGrid/>
          <w:color w:val="auto"/>
          <w:szCs w:val="32"/>
          <w:u w:val="single"/>
          <w:shd w:val="clear" w:color="auto" w:fill="FFFFFF"/>
          <w:lang w:eastAsia="zh-CN" w:bidi="ar"/>
        </w:rPr>
      </w:pPr>
      <w:r>
        <w:rPr>
          <w:rFonts w:ascii="仿宋" w:hAnsi="仿宋" w:cs="仿宋"/>
          <w:b/>
          <w:snapToGrid/>
          <w:color w:val="auto"/>
          <w:szCs w:val="32"/>
          <w:shd w:val="clear" w:color="auto" w:fill="FFFFFF"/>
          <w:lang w:eastAsia="zh-CN" w:bidi="ar"/>
        </w:rPr>
        <w:t>第十</w:t>
      </w:r>
      <w:r>
        <w:rPr>
          <w:rFonts w:hint="eastAsia" w:ascii="仿宋" w:hAnsi="仿宋" w:cs="仿宋"/>
          <w:b/>
          <w:snapToGrid/>
          <w:color w:val="auto"/>
          <w:szCs w:val="32"/>
          <w:shd w:val="clear" w:color="auto" w:fill="FFFFFF"/>
          <w:lang w:eastAsia="zh-CN" w:bidi="ar"/>
        </w:rPr>
        <w:t>七</w:t>
      </w:r>
      <w:r>
        <w:rPr>
          <w:rFonts w:ascii="仿宋" w:hAnsi="仿宋" w:cs="仿宋"/>
          <w:b/>
          <w:snapToGrid/>
          <w:color w:val="auto"/>
          <w:szCs w:val="32"/>
          <w:shd w:val="clear" w:color="auto" w:fill="FFFFFF"/>
          <w:lang w:eastAsia="zh-CN" w:bidi="ar"/>
        </w:rPr>
        <w:t>条</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 xml:space="preserve"> 公共租赁住房建设应当符合实际需要，建设主体可设计单间、一居室或多居室等不同户型和面积标准的住房。新建的公共租赁住房，单套建筑面积原则上应控制在</w:t>
      </w:r>
      <w:r>
        <w:rPr>
          <w:rFonts w:ascii="仿宋" w:hAnsi="仿宋" w:cs="仿宋"/>
          <w:snapToGrid/>
          <w:color w:val="auto"/>
          <w:szCs w:val="32"/>
          <w:shd w:val="clear" w:color="auto" w:fill="FFFFFF"/>
          <w:lang w:eastAsia="zh-CN" w:bidi="ar"/>
        </w:rPr>
        <w:t>60平方米以下。通过购买、租赁、转用等方式筹集的公共租赁住房房源，单套建筑面积可适当放宽。</w:t>
      </w:r>
    </w:p>
    <w:p w14:paraId="794157FA">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公共租赁住房建设应当符合国家相关工程标准和技术规范，坚持“省地、节能、绿色、环保”的原则，积极采用装配式等产业化技术和工艺，提供简约、环保的基本装修，满足基本入住条件。</w:t>
      </w:r>
      <w:r>
        <w:rPr>
          <w:rFonts w:ascii="仿宋" w:hAnsi="仿宋" w:cs="仿宋"/>
          <w:snapToGrid/>
          <w:color w:val="auto"/>
          <w:szCs w:val="32"/>
          <w:shd w:val="clear" w:color="auto" w:fill="FFFFFF"/>
          <w:lang w:eastAsia="zh-CN" w:bidi="ar"/>
        </w:rPr>
        <w:t xml:space="preserve"> </w:t>
      </w:r>
    </w:p>
    <w:p w14:paraId="7FE5B235">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第十八条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公共租赁住房应当整体登记，不得分割销售、抵押；如需转让或抵押，应当经区住房保障主管部门核准，且应整体转让或抵押，并不得改变公共租赁住房的性质和用途。</w:t>
      </w:r>
    </w:p>
    <w:p w14:paraId="27FA67A2">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第十九条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公共租赁住房建设一律免收各项行政事业性收费和政府性基金，按照有关政策规定享受建设、购买、运营等环节涉及的城镇土地使用税、印花税、契税、土地增值税、增值税、房产税等税收优惠。</w:t>
      </w:r>
    </w:p>
    <w:p w14:paraId="74E0A9CC">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享受政府扶持政策配建并纳入</w:t>
      </w:r>
      <w:r>
        <w:rPr>
          <w:rFonts w:hint="eastAsia" w:ascii="仿宋" w:hAnsi="仿宋" w:cs="仿宋"/>
          <w:snapToGrid/>
          <w:color w:val="auto"/>
          <w:szCs w:val="32"/>
          <w:shd w:val="clear" w:color="auto" w:fill="FFFFFF"/>
          <w:lang w:eastAsia="zh-CN" w:bidi="ar"/>
        </w:rPr>
        <w:t>公共租赁住房管理</w:t>
      </w:r>
      <w:r>
        <w:rPr>
          <w:rFonts w:ascii="仿宋" w:hAnsi="仿宋" w:cs="仿宋"/>
          <w:snapToGrid/>
          <w:color w:val="auto"/>
          <w:szCs w:val="32"/>
          <w:shd w:val="clear" w:color="auto" w:fill="FFFFFF"/>
          <w:lang w:eastAsia="zh-CN" w:bidi="ar"/>
        </w:rPr>
        <w:t>的职工公寓和集体宿舍，水电费按民用住宅收取。</w:t>
      </w:r>
    </w:p>
    <w:p w14:paraId="46A85CFD">
      <w:pPr>
        <w:ind w:firstLine="640"/>
        <w:rPr>
          <w:rFonts w:ascii="仿宋" w:hAnsi="仿宋" w:cs="仿宋"/>
          <w:snapToGrid/>
          <w:color w:val="auto"/>
          <w:szCs w:val="32"/>
          <w:shd w:val="clear" w:color="auto" w:fill="FFFFFF"/>
          <w:lang w:eastAsia="zh-CN" w:bidi="ar"/>
        </w:rPr>
      </w:pPr>
    </w:p>
    <w:p w14:paraId="5E88DDC8">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第三章  申请和审核</w:t>
      </w:r>
    </w:p>
    <w:p w14:paraId="4BE520C9">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w:t>
      </w:r>
      <w:r>
        <w:rPr>
          <w:rFonts w:hint="eastAsia" w:ascii="仿宋" w:hAnsi="仿宋" w:cs="仿宋"/>
          <w:b/>
          <w:snapToGrid/>
          <w:color w:val="auto"/>
          <w:szCs w:val="32"/>
          <w:shd w:val="clear" w:color="auto" w:fill="FFFFFF"/>
          <w:lang w:eastAsia="zh-CN" w:bidi="ar"/>
        </w:rPr>
        <w:t>二十</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公共租赁住房申请坚持诚信原则，实行失信惩戒制度。</w:t>
      </w:r>
    </w:p>
    <w:p w14:paraId="37C3E48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申请人申请公共租赁住房，应当按照规定提交申请材料，并对申请材料的真实性负责。</w:t>
      </w:r>
    </w:p>
    <w:p w14:paraId="3F33866E">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第二十</w:t>
      </w:r>
      <w:r>
        <w:rPr>
          <w:rFonts w:hint="eastAsia" w:ascii="仿宋" w:hAnsi="仿宋" w:cs="仿宋"/>
          <w:b/>
          <w:snapToGrid/>
          <w:color w:val="auto"/>
          <w:szCs w:val="32"/>
          <w:shd w:val="clear" w:color="auto" w:fill="FFFFFF"/>
          <w:lang w:eastAsia="zh-CN" w:bidi="ar"/>
        </w:rPr>
        <w:t>一</w:t>
      </w:r>
      <w:r>
        <w:rPr>
          <w:rFonts w:ascii="仿宋" w:hAnsi="仿宋" w:cs="仿宋"/>
          <w:b/>
          <w:snapToGrid/>
          <w:color w:val="auto"/>
          <w:szCs w:val="32"/>
          <w:shd w:val="clear" w:color="auto" w:fill="FFFFFF"/>
          <w:lang w:eastAsia="zh-CN" w:bidi="ar"/>
        </w:rPr>
        <w:t>条</w:t>
      </w:r>
      <w:r>
        <w:rPr>
          <w:rFonts w:hint="eastAsia" w:ascii="仿宋" w:hAnsi="仿宋" w:cs="仿宋"/>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低收入住房困难家庭类、较低收入住房困难家庭类申请公共租赁住房保障的，原则上以家庭为单位申请。申请人、共同申请人相互之间应当具有法定赡养、抚养、扶养关系并共同居住生活。现役军人或者就读全日制学校期间将户籍迁出本市的年满十八周岁的子女，不受户籍限制。申请人及共同申请人的不动产情况和经济状况列入申请家庭不动产、收入和财产的计算范围。</w:t>
      </w:r>
    </w:p>
    <w:p w14:paraId="1C26CAF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就业人员类可单独申请或由所在用人单位代表本单位员工向单位所在地镇人民政府（街道办事处）统一申请，服务单位所在地与注册地不在同一个区的，向注册地镇人民政府（街道办事处）申请。</w:t>
      </w:r>
    </w:p>
    <w:p w14:paraId="61AFCEA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市、区住房保障主管部门可以安排一定数量的公共租赁住房面向重点企业定向团租，由企业安排给符合本办法规定的职工入住，并在职工入住前或人员发生变动时，将入住人员信息报区住房保障主管部门备案。</w:t>
      </w:r>
    </w:p>
    <w:p w14:paraId="6B233B3E">
      <w:pPr>
        <w:ind w:firstLine="643"/>
        <w:rPr>
          <w:rFonts w:ascii="仿宋" w:hAnsi="仿宋" w:cs="仿宋"/>
          <w:strike/>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第二十二条</w:t>
      </w:r>
      <w:r>
        <w:rPr>
          <w:rFonts w:hint="eastAsia" w:ascii="仿宋" w:hAnsi="仿宋" w:cs="仿宋"/>
          <w:snapToGrid/>
          <w:color w:val="auto"/>
          <w:szCs w:val="32"/>
          <w:shd w:val="clear" w:color="auto" w:fill="FFFFFF"/>
          <w:lang w:eastAsia="zh-CN" w:bidi="ar"/>
        </w:rPr>
        <w:t xml:space="preserve">  申请人组建家庭的，应当以家庭为单位提出轮候申请。</w:t>
      </w:r>
    </w:p>
    <w:p w14:paraId="5B6ABCE0">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在本市工作、退休且子女均已独立成家或单身子女年龄超过本办法第二十三条、第二十四条规定的，父母为本市户籍的可独立申请，其子女中拥有本市两套（含）以上住房的除外。投靠子女户籍迁入本市的父母，不得单独申请。</w:t>
      </w:r>
    </w:p>
    <w:p w14:paraId="4AF4438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离婚或丧偶的无子女单身居民按低收入住房困难家庭类或较低收入住房困难家庭类申请公共租赁住房的，按照本办法第二十三条、第二十四条单身居民的年龄规定执行。</w:t>
      </w:r>
    </w:p>
    <w:p w14:paraId="2CCDF0E8">
      <w:pPr>
        <w:ind w:firstLine="640"/>
        <w:rPr>
          <w:rFonts w:hint="eastAsia"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就业人员申请公共租赁住房，父母不作为共同申请人。</w:t>
      </w:r>
    </w:p>
    <w:p w14:paraId="5EBD724B">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法定监护人事实上未照顾、抚养的未成年人，由户籍所在地镇人民政府（街道办事处）出具证明后，可与祖辈作为一个家庭申请。</w:t>
      </w:r>
    </w:p>
    <w:p w14:paraId="0E23931D">
      <w:pPr>
        <w:ind w:firstLine="643"/>
        <w:rPr>
          <w:rFonts w:hint="eastAsia" w:ascii="仿宋" w:hAnsi="仿宋" w:cs="仿宋"/>
          <w:b w:val="0"/>
          <w:snapToGrid/>
          <w:color w:val="auto"/>
          <w:szCs w:val="32"/>
          <w:u w:val="none"/>
          <w:shd w:val="clear" w:color="auto" w:fill="FFFFFF"/>
          <w:lang w:eastAsia="zh-CN" w:bidi="ar"/>
        </w:rPr>
      </w:pPr>
      <w:r>
        <w:rPr>
          <w:rFonts w:ascii="仿宋" w:hAnsi="仿宋" w:cs="仿宋"/>
          <w:b/>
          <w:snapToGrid/>
          <w:color w:val="auto"/>
          <w:szCs w:val="32"/>
          <w:shd w:val="clear" w:color="auto" w:fill="FFFFFF"/>
          <w:lang w:eastAsia="zh-CN" w:bidi="ar"/>
        </w:rPr>
        <w:t>第二十</w:t>
      </w:r>
      <w:r>
        <w:rPr>
          <w:rFonts w:hint="eastAsia" w:ascii="仿宋" w:hAnsi="仿宋" w:cs="仿宋"/>
          <w:b/>
          <w:snapToGrid/>
          <w:color w:val="auto"/>
          <w:szCs w:val="32"/>
          <w:shd w:val="clear" w:color="auto" w:fill="FFFFFF"/>
          <w:lang w:eastAsia="zh-CN" w:bidi="ar"/>
        </w:rPr>
        <w:t>三</w:t>
      </w:r>
      <w:r>
        <w:rPr>
          <w:rFonts w:ascii="仿宋" w:hAnsi="仿宋" w:cs="仿宋"/>
          <w:b/>
          <w:snapToGrid/>
          <w:color w:val="auto"/>
          <w:szCs w:val="32"/>
          <w:shd w:val="clear" w:color="auto" w:fill="FFFFFF"/>
          <w:lang w:eastAsia="zh-CN" w:bidi="ar"/>
        </w:rPr>
        <w:t>条</w:t>
      </w:r>
      <w:r>
        <w:rPr>
          <w:rFonts w:ascii="仿宋" w:hAnsi="仿宋" w:cs="仿宋"/>
          <w:snapToGrid/>
          <w:color w:val="auto"/>
          <w:szCs w:val="32"/>
          <w:shd w:val="clear" w:color="auto" w:fill="FFFFFF"/>
          <w:lang w:eastAsia="zh-CN" w:bidi="ar"/>
        </w:rPr>
        <w:t xml:space="preserve">  </w:t>
      </w:r>
      <w:r>
        <w:rPr>
          <w:rFonts w:hint="eastAsia" w:ascii="仿宋" w:hAnsi="仿宋" w:cs="仿宋"/>
          <w:b w:val="0"/>
          <w:snapToGrid/>
          <w:color w:val="auto"/>
          <w:szCs w:val="32"/>
          <w:u w:val="none"/>
          <w:shd w:val="clear" w:color="auto" w:fill="FFFFFF"/>
          <w:lang w:eastAsia="zh-CN" w:bidi="ar"/>
        </w:rPr>
        <w:t>低收入住房困难家庭申请公共租赁住房，应当同时具备下列条件：</w:t>
      </w:r>
    </w:p>
    <w:p w14:paraId="1105F196">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（一）</w:t>
      </w:r>
      <w:r>
        <w:rPr>
          <w:rFonts w:hint="eastAsia" w:ascii="仿宋" w:hAnsi="仿宋" w:cs="仿宋"/>
          <w:snapToGrid/>
          <w:color w:val="auto"/>
          <w:szCs w:val="32"/>
          <w:shd w:val="clear" w:color="auto" w:fill="FFFFFF"/>
          <w:lang w:eastAsia="zh-CN" w:bidi="ar"/>
        </w:rPr>
        <w:t>家庭人均收入低于城镇低保标准的150%，且</w:t>
      </w:r>
      <w:r>
        <w:rPr>
          <w:rFonts w:ascii="仿宋" w:hAnsi="仿宋" w:cs="仿宋"/>
          <w:snapToGrid/>
          <w:color w:val="auto"/>
          <w:szCs w:val="32"/>
          <w:shd w:val="clear" w:color="auto" w:fill="FFFFFF"/>
          <w:lang w:eastAsia="zh-CN" w:bidi="ar"/>
        </w:rPr>
        <w:t>家庭人均资产不超过15万元；</w:t>
      </w:r>
      <w:r>
        <w:rPr>
          <w:rFonts w:hint="eastAsia" w:ascii="仿宋" w:hAnsi="仿宋" w:cs="仿宋"/>
          <w:snapToGrid/>
          <w:color w:val="auto"/>
          <w:szCs w:val="32"/>
          <w:shd w:val="clear" w:color="auto" w:fill="FFFFFF"/>
          <w:lang w:eastAsia="zh-CN" w:bidi="ar"/>
        </w:rPr>
        <w:t xml:space="preserve"> </w:t>
      </w:r>
    </w:p>
    <w:p w14:paraId="6648A8C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w:t>
      </w:r>
      <w:r>
        <w:rPr>
          <w:rFonts w:ascii="仿宋" w:hAnsi="仿宋" w:cs="仿宋"/>
          <w:snapToGrid/>
          <w:color w:val="auto"/>
          <w:szCs w:val="32"/>
          <w:shd w:val="clear" w:color="auto" w:fill="FFFFFF"/>
          <w:lang w:eastAsia="zh-CN" w:bidi="ar"/>
        </w:rPr>
        <w:t>申请人</w:t>
      </w:r>
      <w:r>
        <w:rPr>
          <w:rFonts w:hint="eastAsia" w:ascii="仿宋" w:hAnsi="仿宋" w:cs="仿宋"/>
          <w:snapToGrid/>
          <w:color w:val="auto"/>
          <w:szCs w:val="32"/>
          <w:shd w:val="clear" w:color="auto" w:fill="FFFFFF"/>
          <w:lang w:eastAsia="zh-CN" w:bidi="ar"/>
        </w:rPr>
        <w:t>及</w:t>
      </w:r>
      <w:r>
        <w:rPr>
          <w:rFonts w:ascii="仿宋" w:hAnsi="仿宋" w:cs="仿宋"/>
          <w:snapToGrid/>
          <w:color w:val="auto"/>
          <w:szCs w:val="32"/>
          <w:shd w:val="clear" w:color="auto" w:fill="FFFFFF"/>
          <w:lang w:eastAsia="zh-CN" w:bidi="ar"/>
        </w:rPr>
        <w:t>共同申请人具有本市户籍且落户3年以上；</w:t>
      </w:r>
      <w:r>
        <w:rPr>
          <w:rFonts w:hint="eastAsia" w:ascii="仿宋" w:hAnsi="仿宋" w:cs="仿宋"/>
          <w:b/>
          <w:snapToGrid/>
          <w:color w:val="auto"/>
          <w:szCs w:val="32"/>
          <w:shd w:val="clear" w:color="auto" w:fill="FFFFFF"/>
          <w:lang w:eastAsia="zh-CN" w:bidi="ar"/>
        </w:rPr>
        <w:t xml:space="preserve"> </w:t>
      </w:r>
    </w:p>
    <w:p w14:paraId="3230B23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w:t>
      </w:r>
      <w:r>
        <w:rPr>
          <w:rFonts w:ascii="仿宋" w:hAnsi="仿宋" w:cs="仿宋"/>
          <w:snapToGrid/>
          <w:color w:val="auto"/>
          <w:szCs w:val="32"/>
          <w:shd w:val="clear" w:color="auto" w:fill="FFFFFF"/>
          <w:lang w:eastAsia="zh-CN" w:bidi="ar"/>
        </w:rPr>
        <w:t>申请人</w:t>
      </w:r>
      <w:r>
        <w:rPr>
          <w:rFonts w:hint="eastAsia" w:ascii="仿宋" w:hAnsi="仿宋" w:cs="仿宋"/>
          <w:snapToGrid/>
          <w:color w:val="auto"/>
          <w:szCs w:val="32"/>
          <w:shd w:val="clear" w:color="auto" w:fill="FFFFFF"/>
          <w:lang w:eastAsia="zh-CN" w:bidi="ar"/>
        </w:rPr>
        <w:t>及</w:t>
      </w:r>
      <w:r>
        <w:rPr>
          <w:rFonts w:ascii="仿宋" w:hAnsi="仿宋" w:cs="仿宋"/>
          <w:snapToGrid/>
          <w:color w:val="auto"/>
          <w:szCs w:val="32"/>
          <w:shd w:val="clear" w:color="auto" w:fill="FFFFFF"/>
          <w:lang w:eastAsia="zh-CN" w:bidi="ar"/>
        </w:rPr>
        <w:t>共同申请人</w:t>
      </w:r>
      <w:r>
        <w:rPr>
          <w:rFonts w:hint="eastAsia" w:ascii="仿宋" w:hAnsi="仿宋" w:cs="仿宋"/>
          <w:snapToGrid/>
          <w:color w:val="auto"/>
          <w:szCs w:val="32"/>
          <w:shd w:val="clear" w:color="auto" w:fill="FFFFFF"/>
          <w:lang w:eastAsia="zh-CN" w:bidi="ar"/>
        </w:rPr>
        <w:t>未</w:t>
      </w:r>
      <w:r>
        <w:rPr>
          <w:rFonts w:ascii="仿宋" w:hAnsi="仿宋" w:cs="仿宋"/>
          <w:snapToGrid/>
          <w:color w:val="auto"/>
          <w:szCs w:val="32"/>
          <w:shd w:val="clear" w:color="auto" w:fill="FFFFFF"/>
          <w:lang w:eastAsia="zh-CN" w:bidi="ar"/>
        </w:rPr>
        <w:t>在本市</w:t>
      </w:r>
      <w:r>
        <w:rPr>
          <w:rFonts w:hint="eastAsia" w:ascii="仿宋" w:hAnsi="仿宋" w:cs="仿宋"/>
          <w:snapToGrid/>
          <w:color w:val="auto"/>
          <w:szCs w:val="32"/>
          <w:shd w:val="clear" w:color="auto" w:fill="FFFFFF"/>
          <w:lang w:eastAsia="zh-CN" w:bidi="ar"/>
        </w:rPr>
        <w:t>拥有自有住房</w:t>
      </w:r>
      <w:r>
        <w:rPr>
          <w:rFonts w:ascii="仿宋" w:hAnsi="仿宋" w:cs="仿宋"/>
          <w:snapToGrid/>
          <w:color w:val="auto"/>
          <w:szCs w:val="32"/>
          <w:shd w:val="clear" w:color="auto" w:fill="FFFFFF"/>
          <w:lang w:eastAsia="zh-CN" w:bidi="ar"/>
        </w:rPr>
        <w:t>或家庭人均居住建筑面积低于15平方米</w:t>
      </w:r>
      <w:r>
        <w:rPr>
          <w:rFonts w:hint="eastAsia" w:ascii="仿宋" w:hAnsi="仿宋" w:cs="仿宋"/>
          <w:snapToGrid/>
          <w:color w:val="auto"/>
          <w:szCs w:val="32"/>
          <w:shd w:val="clear" w:color="auto" w:fill="FFFFFF"/>
          <w:lang w:eastAsia="zh-CN" w:bidi="ar"/>
        </w:rPr>
        <w:t>，且</w:t>
      </w:r>
      <w:r>
        <w:rPr>
          <w:rFonts w:ascii="仿宋" w:hAnsi="仿宋" w:cs="仿宋"/>
          <w:snapToGrid/>
          <w:color w:val="auto"/>
          <w:szCs w:val="32"/>
          <w:shd w:val="clear" w:color="auto" w:fill="FFFFFF"/>
          <w:lang w:eastAsia="zh-CN" w:bidi="ar"/>
        </w:rPr>
        <w:t>在申请受理之日前5年内</w:t>
      </w:r>
      <w:r>
        <w:rPr>
          <w:rFonts w:hint="eastAsia" w:ascii="仿宋" w:hAnsi="仿宋" w:cs="仿宋"/>
          <w:snapToGrid/>
          <w:color w:val="auto"/>
          <w:szCs w:val="32"/>
          <w:shd w:val="clear" w:color="auto" w:fill="FFFFFF"/>
          <w:lang w:eastAsia="zh-CN" w:bidi="ar"/>
        </w:rPr>
        <w:t>未转让过自有住房</w:t>
      </w:r>
      <w:r>
        <w:rPr>
          <w:rFonts w:ascii="仿宋" w:hAnsi="仿宋" w:cs="仿宋"/>
          <w:snapToGrid/>
          <w:color w:val="auto"/>
          <w:szCs w:val="32"/>
          <w:shd w:val="clear" w:color="auto" w:fill="FFFFFF"/>
          <w:lang w:eastAsia="zh-CN" w:bidi="ar"/>
        </w:rPr>
        <w:t>；</w:t>
      </w:r>
    </w:p>
    <w:p w14:paraId="786352FD">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（四）申请人及共同申请人无机动车辆（残疾人专用机动车除外）；</w:t>
      </w:r>
    </w:p>
    <w:p w14:paraId="170EC56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（五）</w:t>
      </w:r>
      <w:r>
        <w:rPr>
          <w:rFonts w:ascii="仿宋" w:hAnsi="仿宋" w:cs="仿宋"/>
          <w:snapToGrid/>
          <w:color w:val="auto"/>
          <w:szCs w:val="32"/>
          <w:shd w:val="clear" w:color="auto" w:fill="FFFFFF"/>
          <w:lang w:eastAsia="zh-CN" w:bidi="ar"/>
        </w:rPr>
        <w:t>申请人及共同申请人</w:t>
      </w:r>
      <w:r>
        <w:rPr>
          <w:rFonts w:hint="eastAsia" w:ascii="仿宋" w:hAnsi="仿宋" w:cs="仿宋"/>
          <w:szCs w:val="32"/>
          <w:shd w:val="clear" w:color="auto" w:fill="FFFFFF"/>
          <w:lang w:eastAsia="zh-CN" w:bidi="ar"/>
        </w:rPr>
        <w:t>未正在享受本市任何住房保障（承租市场主体对外运营的保障性租赁住房除外）。</w:t>
      </w:r>
    </w:p>
    <w:p w14:paraId="3D005926">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符合前款规定，年龄35周岁以上的单身居民，可以单独申请公共租赁住房；孤儿年满18岁后，如符合前款规定</w:t>
      </w:r>
      <w:r>
        <w:rPr>
          <w:rFonts w:hint="eastAsia" w:ascii="仿宋" w:hAnsi="仿宋" w:cs="仿宋"/>
          <w:snapToGrid/>
          <w:color w:val="auto"/>
          <w:szCs w:val="32"/>
          <w:shd w:val="clear" w:color="auto" w:fill="FFFFFF"/>
          <w:lang w:eastAsia="zh-CN" w:bidi="ar"/>
        </w:rPr>
        <w:t>可以</w:t>
      </w:r>
      <w:r>
        <w:rPr>
          <w:rFonts w:ascii="仿宋" w:hAnsi="仿宋" w:cs="仿宋"/>
          <w:snapToGrid/>
          <w:color w:val="auto"/>
          <w:szCs w:val="32"/>
          <w:shd w:val="clear" w:color="auto" w:fill="FFFFFF"/>
          <w:lang w:eastAsia="zh-CN" w:bidi="ar"/>
        </w:rPr>
        <w:t>独立申请。</w:t>
      </w:r>
    </w:p>
    <w:p w14:paraId="43D4B2C2">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第二十</w:t>
      </w:r>
      <w:r>
        <w:rPr>
          <w:rFonts w:hint="eastAsia" w:ascii="仿宋" w:hAnsi="仿宋" w:cs="仿宋"/>
          <w:b/>
          <w:snapToGrid/>
          <w:color w:val="auto"/>
          <w:szCs w:val="32"/>
          <w:shd w:val="clear" w:color="auto" w:fill="FFFFFF"/>
          <w:lang w:eastAsia="zh-CN" w:bidi="ar"/>
        </w:rPr>
        <w:t>四</w:t>
      </w:r>
      <w:r>
        <w:rPr>
          <w:rFonts w:ascii="仿宋" w:hAnsi="仿宋" w:cs="仿宋"/>
          <w:b/>
          <w:snapToGrid/>
          <w:color w:val="auto"/>
          <w:szCs w:val="32"/>
          <w:shd w:val="clear" w:color="auto" w:fill="FFFFFF"/>
          <w:lang w:eastAsia="zh-CN" w:bidi="ar"/>
        </w:rPr>
        <w:t xml:space="preserve">条  </w:t>
      </w:r>
      <w:r>
        <w:rPr>
          <w:rFonts w:hint="eastAsia" w:ascii="仿宋" w:hAnsi="仿宋" w:cs="仿宋"/>
          <w:b w:val="0"/>
          <w:snapToGrid/>
          <w:color w:val="auto"/>
          <w:szCs w:val="32"/>
          <w:u w:val="none"/>
          <w:shd w:val="clear" w:color="auto" w:fill="FFFFFF"/>
          <w:lang w:eastAsia="zh-CN" w:bidi="ar"/>
        </w:rPr>
        <w:t>较低收入住房困难家庭申请公共租赁住房，应当同时具备下列条件：</w:t>
      </w:r>
    </w:p>
    <w:p w14:paraId="3B9C9C47">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（一）家庭人均收入低于上年度本市城镇居民人均可支配收入</w:t>
      </w:r>
      <w:r>
        <w:rPr>
          <w:rFonts w:hint="eastAsia" w:ascii="仿宋" w:hAnsi="仿宋" w:cs="仿宋"/>
          <w:snapToGrid/>
          <w:color w:val="auto"/>
          <w:szCs w:val="32"/>
          <w:shd w:val="clear" w:color="auto" w:fill="FFFFFF"/>
          <w:lang w:eastAsia="zh-CN" w:bidi="ar"/>
        </w:rPr>
        <w:t>的</w:t>
      </w:r>
      <w:r>
        <w:rPr>
          <w:rFonts w:ascii="仿宋" w:hAnsi="仿宋" w:cs="仿宋"/>
          <w:snapToGrid/>
          <w:color w:val="auto"/>
          <w:szCs w:val="32"/>
          <w:shd w:val="clear" w:color="auto" w:fill="FFFFFF"/>
          <w:lang w:eastAsia="zh-CN" w:bidi="ar"/>
        </w:rPr>
        <w:t>60%</w:t>
      </w:r>
      <w:r>
        <w:rPr>
          <w:rFonts w:hint="eastAsia" w:ascii="仿宋" w:hAnsi="仿宋" w:cs="仿宋"/>
          <w:snapToGrid/>
          <w:color w:val="auto"/>
          <w:szCs w:val="32"/>
          <w:shd w:val="clear" w:color="auto" w:fill="FFFFFF"/>
          <w:lang w:eastAsia="zh-CN" w:bidi="ar"/>
        </w:rPr>
        <w:t>，且</w:t>
      </w:r>
      <w:r>
        <w:rPr>
          <w:rFonts w:ascii="仿宋" w:hAnsi="仿宋" w:cs="仿宋"/>
          <w:snapToGrid/>
          <w:color w:val="auto"/>
          <w:szCs w:val="32"/>
          <w:shd w:val="clear" w:color="auto" w:fill="FFFFFF"/>
          <w:lang w:eastAsia="zh-CN" w:bidi="ar"/>
        </w:rPr>
        <w:t>家庭人均资产不超过20万元；</w:t>
      </w:r>
    </w:p>
    <w:p w14:paraId="2AF2EBB1">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（二）</w:t>
      </w:r>
      <w:r>
        <w:rPr>
          <w:rFonts w:hint="eastAsia" w:ascii="仿宋" w:hAnsi="仿宋" w:cs="仿宋"/>
          <w:snapToGrid/>
          <w:color w:val="auto"/>
          <w:szCs w:val="32"/>
          <w:shd w:val="clear" w:color="auto" w:fill="FFFFFF"/>
          <w:lang w:eastAsia="zh-CN" w:bidi="ar"/>
        </w:rPr>
        <w:t>申请人具有本市户籍且落户</w:t>
      </w:r>
      <w:r>
        <w:rPr>
          <w:rFonts w:ascii="仿宋" w:hAnsi="仿宋" w:cs="仿宋"/>
          <w:snapToGrid/>
          <w:color w:val="auto"/>
          <w:szCs w:val="32"/>
          <w:shd w:val="clear" w:color="auto" w:fill="FFFFFF"/>
          <w:lang w:eastAsia="zh-CN" w:bidi="ar"/>
        </w:rPr>
        <w:t>3</w:t>
      </w:r>
      <w:r>
        <w:rPr>
          <w:rFonts w:hint="eastAsia" w:ascii="仿宋" w:hAnsi="仿宋" w:cs="仿宋"/>
          <w:snapToGrid/>
          <w:color w:val="auto"/>
          <w:szCs w:val="32"/>
          <w:shd w:val="clear" w:color="auto" w:fill="FFFFFF"/>
          <w:lang w:eastAsia="zh-CN" w:bidi="ar"/>
        </w:rPr>
        <w:t>年以上，共同申请人可为非本市户籍的常住人口；</w:t>
      </w:r>
    </w:p>
    <w:p w14:paraId="3FEC888B">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w:t>
      </w:r>
      <w:r>
        <w:rPr>
          <w:rFonts w:ascii="仿宋" w:hAnsi="仿宋" w:cs="仿宋"/>
          <w:snapToGrid/>
          <w:color w:val="auto"/>
          <w:szCs w:val="32"/>
          <w:shd w:val="clear" w:color="auto" w:fill="FFFFFF"/>
          <w:lang w:eastAsia="zh-CN" w:bidi="ar"/>
        </w:rPr>
        <w:t>申请人</w:t>
      </w:r>
      <w:r>
        <w:rPr>
          <w:rFonts w:hint="eastAsia" w:ascii="仿宋" w:hAnsi="仿宋" w:cs="仿宋"/>
          <w:snapToGrid/>
          <w:color w:val="auto"/>
          <w:szCs w:val="32"/>
          <w:shd w:val="clear" w:color="auto" w:fill="FFFFFF"/>
          <w:lang w:eastAsia="zh-CN" w:bidi="ar"/>
        </w:rPr>
        <w:t>及</w:t>
      </w:r>
      <w:r>
        <w:rPr>
          <w:rFonts w:ascii="仿宋" w:hAnsi="仿宋" w:cs="仿宋"/>
          <w:snapToGrid/>
          <w:color w:val="auto"/>
          <w:szCs w:val="32"/>
          <w:shd w:val="clear" w:color="auto" w:fill="FFFFFF"/>
          <w:lang w:eastAsia="zh-CN" w:bidi="ar"/>
        </w:rPr>
        <w:t>共同申请人</w:t>
      </w:r>
      <w:r>
        <w:rPr>
          <w:rFonts w:hint="eastAsia" w:ascii="仿宋" w:hAnsi="仿宋" w:cs="仿宋"/>
          <w:snapToGrid/>
          <w:color w:val="auto"/>
          <w:szCs w:val="32"/>
          <w:shd w:val="clear" w:color="auto" w:fill="FFFFFF"/>
          <w:lang w:eastAsia="zh-CN" w:bidi="ar"/>
        </w:rPr>
        <w:t>未</w:t>
      </w:r>
      <w:r>
        <w:rPr>
          <w:rFonts w:ascii="仿宋" w:hAnsi="仿宋" w:cs="仿宋"/>
          <w:snapToGrid/>
          <w:color w:val="auto"/>
          <w:szCs w:val="32"/>
          <w:shd w:val="clear" w:color="auto" w:fill="FFFFFF"/>
          <w:lang w:eastAsia="zh-CN" w:bidi="ar"/>
        </w:rPr>
        <w:t>在本市</w:t>
      </w:r>
      <w:r>
        <w:rPr>
          <w:rFonts w:hint="eastAsia" w:ascii="仿宋" w:hAnsi="仿宋" w:cs="仿宋"/>
          <w:snapToGrid/>
          <w:color w:val="auto"/>
          <w:szCs w:val="32"/>
          <w:shd w:val="clear" w:color="auto" w:fill="FFFFFF"/>
          <w:lang w:eastAsia="zh-CN" w:bidi="ar"/>
        </w:rPr>
        <w:t>拥有自有住房</w:t>
      </w:r>
      <w:r>
        <w:rPr>
          <w:rFonts w:ascii="仿宋" w:hAnsi="仿宋" w:cs="仿宋"/>
          <w:snapToGrid/>
          <w:color w:val="auto"/>
          <w:szCs w:val="32"/>
          <w:shd w:val="clear" w:color="auto" w:fill="FFFFFF"/>
          <w:lang w:eastAsia="zh-CN" w:bidi="ar"/>
        </w:rPr>
        <w:t>或家庭人均居住建筑面积低于15平方米</w:t>
      </w:r>
      <w:r>
        <w:rPr>
          <w:rFonts w:hint="eastAsia" w:ascii="仿宋" w:hAnsi="仿宋" w:cs="仿宋"/>
          <w:snapToGrid/>
          <w:color w:val="auto"/>
          <w:szCs w:val="32"/>
          <w:shd w:val="clear" w:color="auto" w:fill="FFFFFF"/>
          <w:lang w:eastAsia="zh-CN" w:bidi="ar"/>
        </w:rPr>
        <w:t>，且</w:t>
      </w:r>
      <w:r>
        <w:rPr>
          <w:rFonts w:ascii="仿宋" w:hAnsi="仿宋" w:cs="仿宋"/>
          <w:snapToGrid/>
          <w:color w:val="auto"/>
          <w:szCs w:val="32"/>
          <w:shd w:val="clear" w:color="auto" w:fill="FFFFFF"/>
          <w:lang w:eastAsia="zh-CN" w:bidi="ar"/>
        </w:rPr>
        <w:t>在申请受理之日前5年内</w:t>
      </w:r>
      <w:r>
        <w:rPr>
          <w:rFonts w:hint="eastAsia" w:ascii="仿宋" w:hAnsi="仿宋" w:cs="仿宋"/>
          <w:snapToGrid/>
          <w:color w:val="auto"/>
          <w:szCs w:val="32"/>
          <w:shd w:val="clear" w:color="auto" w:fill="FFFFFF"/>
          <w:lang w:eastAsia="zh-CN" w:bidi="ar"/>
        </w:rPr>
        <w:t>未转让过自有住房</w:t>
      </w:r>
      <w:r>
        <w:rPr>
          <w:rFonts w:ascii="仿宋" w:hAnsi="仿宋" w:cs="仿宋"/>
          <w:snapToGrid/>
          <w:color w:val="auto"/>
          <w:szCs w:val="32"/>
          <w:shd w:val="clear" w:color="auto" w:fill="FFFFFF"/>
          <w:lang w:eastAsia="zh-CN" w:bidi="ar"/>
        </w:rPr>
        <w:t>；</w:t>
      </w:r>
    </w:p>
    <w:p w14:paraId="509810B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（四）申请人及共同申请人无机动车辆（残疾人专用机动车除外）；</w:t>
      </w:r>
    </w:p>
    <w:p w14:paraId="5B17F68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（五）</w:t>
      </w:r>
      <w:r>
        <w:rPr>
          <w:rFonts w:ascii="仿宋" w:hAnsi="仿宋" w:cs="仿宋"/>
          <w:snapToGrid/>
          <w:color w:val="auto"/>
          <w:szCs w:val="32"/>
          <w:shd w:val="clear" w:color="auto" w:fill="FFFFFF"/>
          <w:lang w:eastAsia="zh-CN" w:bidi="ar"/>
        </w:rPr>
        <w:t>申请人及共同申请人</w:t>
      </w:r>
      <w:r>
        <w:rPr>
          <w:rFonts w:hint="eastAsia" w:ascii="仿宋" w:hAnsi="仿宋" w:cs="仿宋"/>
          <w:szCs w:val="32"/>
          <w:shd w:val="clear" w:color="auto" w:fill="FFFFFF"/>
          <w:lang w:eastAsia="zh-CN" w:bidi="ar"/>
        </w:rPr>
        <w:t>未正在享受本市任何住房保障（承租市场主体对外运营的保障性租赁住房除外）。</w:t>
      </w:r>
    </w:p>
    <w:p w14:paraId="206207E0">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符合前款规定，年龄</w:t>
      </w:r>
      <w:r>
        <w:rPr>
          <w:rFonts w:ascii="仿宋" w:hAnsi="仿宋" w:cs="仿宋"/>
          <w:snapToGrid/>
          <w:color w:val="auto"/>
          <w:szCs w:val="32"/>
          <w:shd w:val="clear" w:color="auto" w:fill="FFFFFF"/>
          <w:lang w:eastAsia="zh-CN" w:bidi="ar"/>
        </w:rPr>
        <w:t>30</w:t>
      </w:r>
      <w:r>
        <w:rPr>
          <w:rFonts w:hint="eastAsia" w:ascii="仿宋" w:hAnsi="仿宋" w:cs="仿宋"/>
          <w:snapToGrid/>
          <w:color w:val="auto"/>
          <w:szCs w:val="32"/>
          <w:shd w:val="clear" w:color="auto" w:fill="FFFFFF"/>
          <w:lang w:eastAsia="zh-CN" w:bidi="ar"/>
        </w:rPr>
        <w:t>周岁以上的单身居民，可以单独申请公共租赁住房；孤儿年满</w:t>
      </w:r>
      <w:r>
        <w:rPr>
          <w:rFonts w:ascii="仿宋" w:hAnsi="仿宋" w:cs="仿宋"/>
          <w:snapToGrid/>
          <w:color w:val="auto"/>
          <w:szCs w:val="32"/>
          <w:shd w:val="clear" w:color="auto" w:fill="FFFFFF"/>
          <w:lang w:eastAsia="zh-CN" w:bidi="ar"/>
        </w:rPr>
        <w:t>18</w:t>
      </w:r>
      <w:r>
        <w:rPr>
          <w:rFonts w:hint="eastAsia" w:ascii="仿宋" w:hAnsi="仿宋" w:cs="仿宋"/>
          <w:snapToGrid/>
          <w:color w:val="auto"/>
          <w:szCs w:val="32"/>
          <w:shd w:val="clear" w:color="auto" w:fill="FFFFFF"/>
          <w:lang w:eastAsia="zh-CN" w:bidi="ar"/>
        </w:rPr>
        <w:t>岁后，如符合前款规定可以独立申请。</w:t>
      </w:r>
    </w:p>
    <w:p w14:paraId="3EA2CBCF">
      <w:pPr>
        <w:ind w:firstLine="643"/>
        <w:rPr>
          <w:rFonts w:hint="eastAsia" w:ascii="仿宋" w:hAnsi="仿宋" w:cs="仿宋"/>
          <w:b w:val="0"/>
          <w:snapToGrid/>
          <w:color w:val="auto"/>
          <w:szCs w:val="32"/>
          <w:u w:val="none"/>
          <w:shd w:val="clear" w:color="auto" w:fill="FFFFFF"/>
          <w:lang w:eastAsia="zh-CN" w:bidi="ar"/>
        </w:rPr>
      </w:pPr>
      <w:r>
        <w:rPr>
          <w:rFonts w:hint="eastAsia" w:ascii="仿宋" w:hAnsi="仿宋" w:cs="仿宋"/>
          <w:b/>
          <w:snapToGrid/>
          <w:color w:val="auto"/>
          <w:szCs w:val="32"/>
          <w:shd w:val="clear" w:color="auto" w:fill="FFFFFF"/>
          <w:lang w:eastAsia="zh-CN" w:bidi="ar"/>
        </w:rPr>
        <w:t>第二十五条</w:t>
      </w:r>
      <w:r>
        <w:rPr>
          <w:rFonts w:hint="eastAsia" w:ascii="仿宋" w:hAnsi="仿宋" w:cs="仿宋"/>
          <w:snapToGrid/>
          <w:color w:val="auto"/>
          <w:szCs w:val="32"/>
          <w:shd w:val="clear" w:color="auto" w:fill="FFFFFF"/>
          <w:lang w:eastAsia="zh-CN" w:bidi="ar"/>
        </w:rPr>
        <w:t xml:space="preserve">  </w:t>
      </w:r>
      <w:r>
        <w:rPr>
          <w:rFonts w:hint="eastAsia" w:ascii="仿宋" w:hAnsi="仿宋" w:cs="仿宋"/>
          <w:b w:val="0"/>
          <w:snapToGrid/>
          <w:color w:val="auto"/>
          <w:szCs w:val="32"/>
          <w:u w:val="none"/>
          <w:shd w:val="clear" w:color="auto" w:fill="FFFFFF"/>
          <w:lang w:eastAsia="zh-CN" w:bidi="ar"/>
        </w:rPr>
        <w:t>就业人员申请公共租赁住房，应当同时具备下列条件：</w:t>
      </w:r>
    </w:p>
    <w:p w14:paraId="329865D8">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（一）具有中专以上学历，自毕业起不满6</w:t>
      </w:r>
      <w:r>
        <w:rPr>
          <w:rFonts w:ascii="仿宋" w:hAnsi="仿宋" w:cs="仿宋"/>
          <w:snapToGrid/>
          <w:color w:val="auto"/>
          <w:szCs w:val="32"/>
          <w:shd w:val="clear" w:color="auto" w:fill="FFFFFF"/>
          <w:lang w:eastAsia="zh-CN" w:bidi="ar"/>
        </w:rPr>
        <w:t>年；</w:t>
      </w:r>
      <w:r>
        <w:rPr>
          <w:rFonts w:hint="eastAsia" w:ascii="仿宋" w:hAnsi="仿宋" w:cs="仿宋"/>
          <w:snapToGrid/>
          <w:color w:val="auto"/>
          <w:szCs w:val="32"/>
          <w:shd w:val="clear" w:color="auto" w:fill="FFFFFF"/>
          <w:lang w:eastAsia="zh-CN" w:bidi="ar"/>
        </w:rPr>
        <w:t>或中级以上专业技术职称或中级以上技师资格；</w:t>
      </w:r>
      <w:r>
        <w:rPr>
          <w:rFonts w:ascii="仿宋" w:hAnsi="仿宋" w:cs="仿宋"/>
          <w:snapToGrid/>
          <w:color w:val="auto"/>
          <w:szCs w:val="32"/>
          <w:shd w:val="clear" w:color="auto" w:fill="FFFFFF"/>
          <w:lang w:eastAsia="zh-CN" w:bidi="ar"/>
        </w:rPr>
        <w:t>或取得高级工职业资格证书；或经珠海市企业技能人才评价取得一、二、三级评价证书之一；</w:t>
      </w:r>
    </w:p>
    <w:p w14:paraId="5AF111D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（二）已与本市用人单位签订聘用期为1年（含）以上仍在履行的劳动合同，且劳动合同应当自申请之日起至少有1年（含）以上有效期，并在本市缴纳社保累计满1年以上的；</w:t>
      </w:r>
    </w:p>
    <w:p w14:paraId="00FD391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w:t>
      </w:r>
      <w:r>
        <w:rPr>
          <w:rFonts w:ascii="仿宋" w:hAnsi="仿宋" w:cs="仿宋"/>
          <w:snapToGrid/>
          <w:color w:val="auto"/>
          <w:szCs w:val="32"/>
          <w:shd w:val="clear" w:color="auto" w:fill="FFFFFF"/>
          <w:lang w:eastAsia="zh-CN" w:bidi="ar"/>
        </w:rPr>
        <w:t>申请人</w:t>
      </w:r>
      <w:r>
        <w:rPr>
          <w:rFonts w:hint="eastAsia" w:ascii="仿宋" w:hAnsi="仿宋" w:cs="仿宋"/>
          <w:snapToGrid/>
          <w:color w:val="auto"/>
          <w:szCs w:val="32"/>
          <w:shd w:val="clear" w:color="auto" w:fill="FFFFFF"/>
          <w:lang w:eastAsia="zh-CN" w:bidi="ar"/>
        </w:rPr>
        <w:t>及</w:t>
      </w:r>
      <w:r>
        <w:rPr>
          <w:rFonts w:ascii="仿宋" w:hAnsi="仿宋" w:cs="仿宋"/>
          <w:snapToGrid/>
          <w:color w:val="auto"/>
          <w:szCs w:val="32"/>
          <w:shd w:val="clear" w:color="auto" w:fill="FFFFFF"/>
          <w:lang w:eastAsia="zh-CN" w:bidi="ar"/>
        </w:rPr>
        <w:t>共同申请人</w:t>
      </w:r>
      <w:r>
        <w:rPr>
          <w:rFonts w:hint="eastAsia" w:ascii="仿宋" w:hAnsi="仿宋" w:cs="仿宋"/>
          <w:snapToGrid/>
          <w:color w:val="auto"/>
          <w:szCs w:val="32"/>
          <w:shd w:val="clear" w:color="auto" w:fill="FFFFFF"/>
          <w:lang w:eastAsia="zh-CN" w:bidi="ar"/>
        </w:rPr>
        <w:t>未</w:t>
      </w:r>
      <w:r>
        <w:rPr>
          <w:rFonts w:ascii="仿宋" w:hAnsi="仿宋" w:cs="仿宋"/>
          <w:snapToGrid/>
          <w:color w:val="auto"/>
          <w:szCs w:val="32"/>
          <w:shd w:val="clear" w:color="auto" w:fill="FFFFFF"/>
          <w:lang w:eastAsia="zh-CN" w:bidi="ar"/>
        </w:rPr>
        <w:t>在本市</w:t>
      </w:r>
      <w:r>
        <w:rPr>
          <w:rFonts w:hint="eastAsia" w:ascii="仿宋" w:hAnsi="仿宋" w:cs="仿宋"/>
          <w:snapToGrid/>
          <w:color w:val="auto"/>
          <w:szCs w:val="32"/>
          <w:shd w:val="clear" w:color="auto" w:fill="FFFFFF"/>
          <w:lang w:eastAsia="zh-CN" w:bidi="ar"/>
        </w:rPr>
        <w:t>拥有自有住房</w:t>
      </w:r>
      <w:r>
        <w:rPr>
          <w:rFonts w:ascii="仿宋" w:hAnsi="仿宋" w:cs="仿宋"/>
          <w:snapToGrid/>
          <w:color w:val="auto"/>
          <w:szCs w:val="32"/>
          <w:shd w:val="clear" w:color="auto" w:fill="FFFFFF"/>
          <w:lang w:eastAsia="zh-CN" w:bidi="ar"/>
        </w:rPr>
        <w:t>或家庭人均居住建筑面积低于15平方米</w:t>
      </w:r>
      <w:r>
        <w:rPr>
          <w:rFonts w:hint="eastAsia" w:ascii="仿宋" w:hAnsi="仿宋" w:cs="仿宋"/>
          <w:snapToGrid/>
          <w:color w:val="auto"/>
          <w:szCs w:val="32"/>
          <w:shd w:val="clear" w:color="auto" w:fill="FFFFFF"/>
          <w:lang w:eastAsia="zh-CN" w:bidi="ar"/>
        </w:rPr>
        <w:t>，且</w:t>
      </w:r>
      <w:r>
        <w:rPr>
          <w:rFonts w:ascii="仿宋" w:hAnsi="仿宋" w:cs="仿宋"/>
          <w:snapToGrid/>
          <w:color w:val="auto"/>
          <w:szCs w:val="32"/>
          <w:shd w:val="clear" w:color="auto" w:fill="FFFFFF"/>
          <w:lang w:eastAsia="zh-CN" w:bidi="ar"/>
        </w:rPr>
        <w:t>在申请受理之日前5年内</w:t>
      </w:r>
      <w:r>
        <w:rPr>
          <w:rFonts w:hint="eastAsia" w:ascii="仿宋" w:hAnsi="仿宋" w:cs="仿宋"/>
          <w:snapToGrid/>
          <w:color w:val="auto"/>
          <w:szCs w:val="32"/>
          <w:shd w:val="clear" w:color="auto" w:fill="FFFFFF"/>
          <w:lang w:eastAsia="zh-CN" w:bidi="ar"/>
        </w:rPr>
        <w:t>未</w:t>
      </w:r>
      <w:r>
        <w:rPr>
          <w:rFonts w:ascii="仿宋" w:hAnsi="仿宋" w:cs="仿宋"/>
          <w:snapToGrid/>
          <w:color w:val="auto"/>
          <w:szCs w:val="32"/>
          <w:shd w:val="clear" w:color="auto" w:fill="FFFFFF"/>
          <w:lang w:eastAsia="zh-CN" w:bidi="ar"/>
        </w:rPr>
        <w:t>转让</w:t>
      </w:r>
      <w:r>
        <w:rPr>
          <w:rFonts w:hint="eastAsia" w:ascii="仿宋" w:hAnsi="仿宋" w:cs="仿宋"/>
          <w:snapToGrid/>
          <w:color w:val="auto"/>
          <w:szCs w:val="32"/>
          <w:shd w:val="clear" w:color="auto" w:fill="FFFFFF"/>
          <w:lang w:eastAsia="zh-CN" w:bidi="ar"/>
        </w:rPr>
        <w:t>过自有住房</w:t>
      </w:r>
      <w:r>
        <w:rPr>
          <w:rFonts w:ascii="仿宋" w:hAnsi="仿宋" w:cs="仿宋"/>
          <w:snapToGrid/>
          <w:color w:val="auto"/>
          <w:szCs w:val="32"/>
          <w:shd w:val="clear" w:color="auto" w:fill="FFFFFF"/>
          <w:lang w:eastAsia="zh-CN" w:bidi="ar"/>
        </w:rPr>
        <w:t>；</w:t>
      </w:r>
    </w:p>
    <w:p w14:paraId="3168005D">
      <w:pPr>
        <w:ind w:firstLine="640"/>
        <w:rPr>
          <w:rFonts w:ascii="仿宋" w:hAnsi="仿宋" w:cs="仿宋"/>
          <w:szCs w:val="32"/>
          <w:shd w:val="clear" w:color="auto" w:fill="FFFFFF"/>
          <w:lang w:eastAsia="zh-CN" w:bidi="ar"/>
        </w:rPr>
      </w:pPr>
      <w:r>
        <w:rPr>
          <w:rFonts w:hint="eastAsia" w:ascii="仿宋" w:hAnsi="仿宋" w:cs="仿宋"/>
          <w:snapToGrid/>
          <w:color w:val="auto"/>
          <w:szCs w:val="32"/>
          <w:shd w:val="clear" w:color="auto" w:fill="FFFFFF"/>
          <w:lang w:eastAsia="zh-CN" w:bidi="ar"/>
        </w:rPr>
        <w:t>（四）</w:t>
      </w:r>
      <w:r>
        <w:rPr>
          <w:rFonts w:ascii="仿宋" w:hAnsi="仿宋" w:cs="仿宋"/>
          <w:snapToGrid/>
          <w:color w:val="auto"/>
          <w:szCs w:val="32"/>
          <w:shd w:val="clear" w:color="auto" w:fill="FFFFFF"/>
          <w:lang w:eastAsia="zh-CN" w:bidi="ar"/>
        </w:rPr>
        <w:t>申请人及共同申请人</w:t>
      </w:r>
      <w:r>
        <w:rPr>
          <w:rFonts w:hint="eastAsia" w:ascii="仿宋" w:hAnsi="仿宋" w:cs="仿宋"/>
          <w:szCs w:val="32"/>
          <w:shd w:val="clear" w:color="auto" w:fill="FFFFFF"/>
          <w:lang w:eastAsia="zh-CN" w:bidi="ar"/>
        </w:rPr>
        <w:t>未正在享受本市任何住房保障（承租市场主体对外运营的保障性租赁住房除外）。</w:t>
      </w:r>
    </w:p>
    <w:p w14:paraId="6C285243">
      <w:pPr>
        <w:ind w:firstLine="643"/>
        <w:rPr>
          <w:rFonts w:hint="eastAsia" w:ascii="仿宋" w:hAnsi="仿宋" w:cs="仿宋"/>
          <w:b w:val="0"/>
          <w:snapToGrid/>
          <w:color w:val="auto"/>
          <w:szCs w:val="32"/>
          <w:u w:val="none"/>
          <w:shd w:val="clear" w:color="auto" w:fill="FFFFFF"/>
          <w:lang w:eastAsia="zh-CN" w:bidi="ar"/>
        </w:rPr>
      </w:pPr>
      <w:r>
        <w:rPr>
          <w:rFonts w:hint="eastAsia" w:ascii="仿宋" w:hAnsi="仿宋" w:cs="仿宋"/>
          <w:b/>
          <w:snapToGrid/>
          <w:color w:val="auto"/>
          <w:szCs w:val="32"/>
          <w:shd w:val="clear" w:color="auto" w:fill="FFFFFF"/>
          <w:lang w:eastAsia="zh-CN" w:bidi="ar"/>
        </w:rPr>
        <w:t>第二十六条</w:t>
      </w:r>
      <w:r>
        <w:rPr>
          <w:rFonts w:ascii="仿宋" w:hAnsi="仿宋" w:cs="仿宋"/>
          <w:snapToGrid/>
          <w:color w:val="auto"/>
          <w:szCs w:val="32"/>
          <w:shd w:val="clear" w:color="auto" w:fill="FFFFFF"/>
          <w:lang w:eastAsia="zh-CN" w:bidi="ar"/>
        </w:rPr>
        <w:t xml:space="preserve">  </w:t>
      </w:r>
      <w:r>
        <w:rPr>
          <w:rFonts w:hint="eastAsia" w:ascii="仿宋" w:hAnsi="仿宋" w:cs="仿宋"/>
          <w:b w:val="0"/>
          <w:snapToGrid/>
          <w:color w:val="auto"/>
          <w:szCs w:val="32"/>
          <w:u w:val="none"/>
          <w:shd w:val="clear" w:color="auto" w:fill="FFFFFF"/>
          <w:lang w:eastAsia="zh-CN" w:bidi="ar"/>
        </w:rPr>
        <w:t>入住企业团租公共租赁住房的，应当符合以下条件：</w:t>
      </w:r>
    </w:p>
    <w:p w14:paraId="4CD7AFE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（一）职工及其配偶、未婚的子女均未在本市拥有自有住房，且在申请受理之日前5年内未转让过自有住房；</w:t>
      </w:r>
    </w:p>
    <w:p w14:paraId="3A862E4B">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（二）职工及其配偶</w:t>
      </w:r>
      <w:r>
        <w:rPr>
          <w:rFonts w:hint="eastAsia" w:ascii="仿宋" w:hAnsi="仿宋" w:cs="仿宋"/>
          <w:szCs w:val="32"/>
          <w:shd w:val="clear" w:color="auto" w:fill="FFFFFF"/>
          <w:lang w:eastAsia="zh-CN" w:bidi="ar"/>
        </w:rPr>
        <w:t>未正在享受本市任何住房保障（承租市场主体对外运营的保障性租赁住房除外）；</w:t>
      </w:r>
    </w:p>
    <w:p w14:paraId="7E62093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（三）职工本人在本市正常缴纳社会保险，未在本市缴纳社会保险的，用人单位应当说明原因并出具在本单位全职工作的劳动合同或者工作证明。</w:t>
      </w:r>
    </w:p>
    <w:p w14:paraId="31876B84">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入住职工的住房、婚姻、家庭人口、劳动合同关系等情况发生变化的，其劳动关系所在的用人单位应当自发生变化之日起三十日以内，通过市保障房平台办理信息变更。信息变更后不再符合前款规定的，用人单位应当及时要求入住职工腾退住房，重新安排给本单位其他符合条件的职工入住，经区住房保障主管部门审核通过后，向产权单位或者运营管理单位办理变更手续。</w:t>
      </w:r>
    </w:p>
    <w:p w14:paraId="7FDAA4DC">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第二十七条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子女家庭（个人）申请公共租赁住房，具有下列情况之一的非本市户籍父母可作为共同申请人：</w:t>
      </w:r>
    </w:p>
    <w:p w14:paraId="1C6495C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（一）子女为独生子女或因病故离世等原因仅有1个子女的，父母与子女共同居住，且在本市办理了居住证；</w:t>
      </w:r>
    </w:p>
    <w:p w14:paraId="706904F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（二）父母为残疾人或患特定重大疾病需要子女照顾的；</w:t>
      </w:r>
    </w:p>
    <w:p w14:paraId="554A2E5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（三）子女为残疾人或患特定重大疾病需要父母照顾的。</w:t>
      </w:r>
    </w:p>
    <w:p w14:paraId="66C51F30">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符合上述情况的申请人或共同申请人，提交申请材料时应提供珠海市残联核发的1-2级重度残疾证或3级智力残疾证、珠海市劳动能力鉴定委员会核发的1-4级残疾《鉴定结论通知书》或《珠海市医疗保险门诊特定病种核定单》。</w:t>
      </w:r>
    </w:p>
    <w:p w14:paraId="256C61F0">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 xml:space="preserve">第二十八条 </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申请人为1人申请，且因行动不便或者患精神疾病、特定重大疾病等情形确需监护人或其他人员长期共同居住照顾生活起居的，实物配租时可计算1名监护人或者照顾人员。</w:t>
      </w:r>
    </w:p>
    <w:p w14:paraId="75C6D7AD">
      <w:pPr>
        <w:ind w:firstLine="643"/>
        <w:rPr>
          <w:rFonts w:hint="eastAsia"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第二十九条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eastAsia="仿宋" w:cs="仿宋"/>
          <w:snapToGrid/>
          <w:color w:val="auto"/>
          <w:kern w:val="0"/>
          <w:sz w:val="32"/>
          <w:szCs w:val="32"/>
          <w:shd w:val="clear" w:color="auto" w:fill="FFFFFF"/>
          <w:lang w:eastAsia="zh-CN" w:bidi="ar"/>
        </w:rPr>
        <w:t>申请人</w:t>
      </w:r>
      <w:r>
        <w:rPr>
          <w:rFonts w:hint="eastAsia" w:ascii="仿宋" w:hAnsi="仿宋" w:cs="仿宋"/>
          <w:snapToGrid/>
          <w:color w:val="auto"/>
          <w:szCs w:val="32"/>
          <w:shd w:val="clear" w:color="auto" w:fill="FFFFFF"/>
          <w:lang w:eastAsia="zh-CN" w:bidi="ar"/>
        </w:rPr>
        <w:t>根据本办法第二十三条、第二十四条申请公共租赁住房保障的，若符合下列特殊情形之一，可不受“在申请受理之日前5年内未转让过自有住房”的条件限制：</w:t>
      </w:r>
    </w:p>
    <w:p w14:paraId="06095A80">
      <w:pPr>
        <w:ind w:firstLine="643"/>
        <w:rPr>
          <w:rFonts w:hint="eastAsia" w:ascii="仿宋" w:hAnsi="仿宋" w:cs="仿宋"/>
          <w:snapToGrid/>
          <w:color w:val="auto"/>
          <w:szCs w:val="32"/>
          <w:highlight w:val="none"/>
          <w:shd w:val="clear" w:color="auto" w:fill="FFFFFF"/>
          <w:lang w:eastAsia="zh-CN" w:bidi="ar"/>
        </w:rPr>
      </w:pPr>
      <w:r>
        <w:rPr>
          <w:rFonts w:hint="eastAsia" w:ascii="仿宋" w:hAnsi="仿宋" w:cs="仿宋"/>
          <w:snapToGrid/>
          <w:color w:val="auto"/>
          <w:szCs w:val="32"/>
          <w:shd w:val="clear" w:color="auto" w:fill="FFFFFF"/>
          <w:lang w:eastAsia="zh-CN" w:bidi="ar"/>
        </w:rPr>
        <w:t>（一）申请人</w:t>
      </w:r>
      <w:r>
        <w:rPr>
          <w:rFonts w:hint="eastAsia" w:ascii="仿宋" w:hAnsi="仿宋" w:cs="仿宋"/>
          <w:snapToGrid/>
          <w:color w:val="auto"/>
          <w:szCs w:val="32"/>
          <w:highlight w:val="none"/>
          <w:shd w:val="clear" w:color="auto" w:fill="FFFFFF"/>
          <w:lang w:eastAsia="zh-CN" w:bidi="ar"/>
        </w:rPr>
        <w:t>或共同申请人因患有特定重大疾病，导致家庭经济条件特别困难的；</w:t>
      </w:r>
    </w:p>
    <w:p w14:paraId="52FF86CD">
      <w:pPr>
        <w:ind w:firstLine="643"/>
        <w:rPr>
          <w:rFonts w:hint="eastAsia" w:ascii="仿宋" w:hAnsi="仿宋" w:cs="仿宋"/>
          <w:snapToGrid/>
          <w:color w:val="auto"/>
          <w:szCs w:val="32"/>
          <w:highlight w:val="none"/>
          <w:shd w:val="clear" w:color="auto" w:fill="FFFFFF"/>
          <w:lang w:eastAsia="zh-CN" w:bidi="ar"/>
        </w:rPr>
      </w:pPr>
      <w:r>
        <w:rPr>
          <w:rFonts w:hint="eastAsia" w:ascii="仿宋" w:hAnsi="仿宋" w:cs="仿宋"/>
          <w:snapToGrid/>
          <w:color w:val="auto"/>
          <w:szCs w:val="32"/>
          <w:highlight w:val="none"/>
          <w:shd w:val="clear" w:color="auto" w:fill="FFFFFF"/>
          <w:lang w:eastAsia="zh-CN" w:bidi="ar"/>
        </w:rPr>
        <w:t>（二）申请人为救助患有特定重大疾病的直系亲属或兄弟姐妹，确需出售不动产支付医疗费用的；</w:t>
      </w:r>
    </w:p>
    <w:p w14:paraId="20F86EE5">
      <w:pPr>
        <w:ind w:firstLine="643"/>
        <w:rPr>
          <w:rFonts w:hint="eastAsia" w:ascii="仿宋" w:hAnsi="仿宋" w:cs="仿宋"/>
          <w:snapToGrid/>
          <w:color w:val="auto"/>
          <w:szCs w:val="32"/>
          <w:shd w:val="clear" w:color="auto" w:fill="FFFFFF"/>
          <w:lang w:eastAsia="zh-CN" w:bidi="ar"/>
        </w:rPr>
      </w:pPr>
      <w:r>
        <w:rPr>
          <w:rFonts w:hint="eastAsia" w:ascii="仿宋" w:hAnsi="仿宋" w:cs="仿宋"/>
          <w:snapToGrid/>
          <w:color w:val="auto"/>
          <w:szCs w:val="32"/>
          <w:highlight w:val="none"/>
          <w:shd w:val="clear" w:color="auto" w:fill="FFFFFF"/>
          <w:lang w:eastAsia="zh-CN" w:bidi="ar"/>
        </w:rPr>
        <w:t>（三）因不动产被司</w:t>
      </w:r>
      <w:r>
        <w:rPr>
          <w:rFonts w:hint="eastAsia" w:ascii="仿宋" w:hAnsi="仿宋" w:cs="仿宋"/>
          <w:snapToGrid/>
          <w:color w:val="auto"/>
          <w:szCs w:val="32"/>
          <w:shd w:val="clear" w:color="auto" w:fill="FFFFFF"/>
          <w:lang w:eastAsia="zh-CN" w:bidi="ar"/>
        </w:rPr>
        <w:t>法拍卖且已完成产权转移，并已办理离婚析产手续的。</w:t>
      </w:r>
    </w:p>
    <w:p w14:paraId="0D55DEA8">
      <w:pPr>
        <w:ind w:firstLine="643"/>
        <w:rPr>
          <w:rFonts w:hint="eastAsia"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除应提供所申请类别公共租赁住房所需的全部资料外，属于上述第（一）（二）项情形的，须提供申请人与患病人员的关系证明，二级甲等及以上医院出具的诊断证明以及住院相关材料，患病人员本人出具的书面说明并经所在居委会证明；若患病人员无意识或丧失行为能力，须由其监护人出具书面说明。属于上述第（三）项情形的，须提交司法拍卖、房产转移登记以及离婚析产等相关证明材料。</w:t>
      </w:r>
    </w:p>
    <w:p w14:paraId="72D3DCBB">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家庭收入包括申请人和共同申请人扣除缴纳的个人所得税以及个人缴纳的社会保险和住房公积金支出后的工薪收入、经营性净收入等。</w:t>
      </w:r>
    </w:p>
    <w:p w14:paraId="4109808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以下情形不纳入家庭收入和家庭资产计算范围：</w:t>
      </w:r>
    </w:p>
    <w:p w14:paraId="4227EF81">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（一）</w:t>
      </w:r>
      <w:r>
        <w:rPr>
          <w:rFonts w:hint="eastAsia" w:ascii="仿宋" w:hAnsi="仿宋" w:cs="仿宋"/>
          <w:snapToGrid/>
          <w:color w:val="auto"/>
          <w:szCs w:val="32"/>
          <w:shd w:val="clear" w:color="auto" w:fill="FFFFFF"/>
          <w:lang w:eastAsia="zh-CN" w:bidi="ar"/>
        </w:rPr>
        <w:t>按照国家规定优抚对象依法享受的抚恤金、补助金、优待金和护理费等；自主就业退役士兵一次性经济补助金；计划生育奖励与扶助金、教育奖（助）学金、见义勇为等奖励性补助；给予独生子女死亡或伤残家庭的特别扶助金等；</w:t>
      </w:r>
    </w:p>
    <w:p w14:paraId="68C5F04C">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（二）</w:t>
      </w:r>
      <w:r>
        <w:rPr>
          <w:rFonts w:hint="eastAsia" w:ascii="仿宋" w:hAnsi="仿宋" w:cs="仿宋"/>
          <w:snapToGrid/>
          <w:color w:val="auto"/>
          <w:szCs w:val="32"/>
          <w:shd w:val="clear" w:color="auto" w:fill="FFFFFF"/>
          <w:lang w:eastAsia="zh-CN" w:bidi="ar"/>
        </w:rPr>
        <w:t>相关法律、法规、规章、规范性文件规定或经市政府批准的其他情形。</w:t>
      </w:r>
    </w:p>
    <w:p w14:paraId="01C15DA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和共同申请人以单位名义纳税或者缴交社保的，其工资额作为认定收入的依据；以个人名义纳税或者缴交社保的，高于社保主管部门公布的最低缴费基数的，以实际缴交标准作为收入认定依据，以社保主管部门公布的最低缴费基数缴交的，结合入户调查及申请人实际申报额和家庭资产情况确定。申请人和共同申请人无工作单位、有劳动能力的按照最低工资收入核定收入。</w:t>
      </w:r>
    </w:p>
    <w:p w14:paraId="552B4A4E">
      <w:pPr>
        <w:ind w:firstLine="643"/>
        <w:rPr>
          <w:rFonts w:ascii="仿宋" w:hAnsi="仿宋" w:cs="仿宋"/>
          <w:b/>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第三十一条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家庭人均收入以受理申请之日前连续十二个月的总收入为计算时限，但申请日之前连续三个月的家庭人均收入应不超过申请类别的收入准入标准。</w:t>
      </w:r>
    </w:p>
    <w:p w14:paraId="6F258B1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申请人和共同申请人提供的工资收入流水、单位收入证明、纳税申报额清单、社保缴费清单不一致的，以数额最高者作为计算依据。申请人认为记录有误的，以相关部门纠正后的记录作为计算依据。</w:t>
      </w:r>
    </w:p>
    <w:p w14:paraId="5C494CFD">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第三十二条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低收入住房困难家庭类或较低收入住房困难家庭类申请公共租赁住房的，申请人与共同申请人均应提交由所在单位出具的申请之日前连续十二个月的收入证明、工作单位所在地税务主管部门出具的申请日之前连续十二个月的纳税申报额清单及社会保险扣除记录清单。无工作单位或失业的，由税务主管部门出具无纳税申报和社会保险扣缴证明。</w:t>
      </w:r>
    </w:p>
    <w:p w14:paraId="20511C3A">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无工作单位或失业的，需提供申请日前人力资源和社会保障主管部门出具的《就业创业证》及连续十二个月社会保险缴费记录清单。</w:t>
      </w:r>
    </w:p>
    <w:p w14:paraId="3A1FF49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民政主管部门认定的困难群众，提供民政主管部门出具的有效期内《珠海市最低生活保障救助金领取证》《广东省低保边缘家庭证》以及《广东省支出型困难家庭证》。</w:t>
      </w:r>
    </w:p>
    <w:p w14:paraId="6F6FA850">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申请人或共同申请人已达退休年龄并领取养老金的，应提交社会保险经办机构出具的领取养老金证明资料。无养老金的，由社会保险经办机构出具无领取养老金证明资料。</w:t>
      </w:r>
    </w:p>
    <w:p w14:paraId="1EDBDA84">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申请人及共同申请人需提交婚姻状况证明资料，已婚的需提供结婚证明；离异的须提供离婚证、离婚协议书或法院判决（裁定）书复印件；丧偶的须提供户籍所在地派出所或相关部门出具的证明。</w:t>
      </w:r>
    </w:p>
    <w:p w14:paraId="4EF58D40">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第三十三条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公共租赁住房保障申请、审核程序如下：</w:t>
      </w:r>
    </w:p>
    <w:p w14:paraId="5EBACF62">
      <w:pPr>
        <w:numPr>
          <w:ilvl w:val="-1"/>
          <w:numId w:val="0"/>
        </w:numPr>
        <w:ind w:firstLine="640" w:firstLineChars="200"/>
        <w:rPr>
          <w:rFonts w:hint="eastAsia"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申请。申请人通过市保障房平台线上填报申请表或者向户籍所在地的社区居民委员会线下寻求协助办理申请手续。申请人应当明确选择领取住房租赁补贴或者轮候公共租赁住房，如实申报收入、财产、不动产、婚姻状况等基本情况，对申报信息的真实性、完整性负责，并签署诚信承诺书。</w:t>
      </w:r>
    </w:p>
    <w:p w14:paraId="73D748F4">
      <w:pPr>
        <w:ind w:firstLine="640"/>
        <w:rPr>
          <w:rFonts w:hint="eastAsia"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初审。镇人民政府（街道办事处）应当自受理申请之日起9个工作日内完成初审。经初审符合条件的，应当将审核意见报区住房保障主管部门，并在市保障房平台公示7日。不符合条件的，应当通过市保障房平台以及短信方式告知申请人并说明理由。申请材料不齐全或者不符合法定形式的，应当一次性告知申请人需要补正的全部内容；申请人应当自收到通知之日起1个月内补正材料，逾期未补正的，视为放弃申请。申请人对初审结果有异议的，可以按照有关规定提出申诉。</w:t>
      </w:r>
    </w:p>
    <w:p w14:paraId="0FD9C147">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终审。区住房保障主管部门应当自收到镇人民政府（街道办事处）报送的申请材料之日起15个工作日内完成审核；相关部门应当按照职责协同做好审核工作。区住房保障主管部门应当根据相关部门审核意见，作出是否符合公共租赁住房保障条件的终审决定。经审核符合条件的，审核结果应当在市保障房平台公示7日。不符合条件的，应当通过市保障房平台以及短信方式告知申请人并说明理由。需要补正材料的，适用前款有关补正材料的规定。申请人对终审结果有异议的，可以按照有关规定提出申诉。</w:t>
      </w:r>
    </w:p>
    <w:p w14:paraId="13FBE665">
      <w:pPr>
        <w:ind w:firstLine="640"/>
        <w:rPr>
          <w:rFonts w:hint="eastAsia"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异议复核。任何组织或者个人对公示内容有异议的，可以在公示期内向区住房保障主管部门提出书面异议。区住房保障主管部门应当会同相关部门在法定期限内进行调查核实，并出具复核意见。经核实异议成立的，应当书面告知申请人并说明理由；异议不成立的，应当在复核意见中予以说明。公示无异议或者经复核异议不成立的，区住房保障主管部门应当将申请人纳入公共租赁住房保障范围。</w:t>
      </w:r>
    </w:p>
    <w:p w14:paraId="4EA90492">
      <w:pPr>
        <w:ind w:firstLine="640"/>
        <w:rPr>
          <w:rFonts w:ascii="仿宋" w:hAnsi="仿宋" w:cs="仿宋"/>
          <w:snapToGrid/>
          <w:color w:val="auto"/>
          <w:szCs w:val="32"/>
          <w:highlight w:val="none"/>
          <w:shd w:val="clear" w:color="auto" w:fill="FFFFFF"/>
          <w:lang w:eastAsia="zh-CN" w:bidi="ar"/>
        </w:rPr>
      </w:pPr>
      <w:r>
        <w:rPr>
          <w:rFonts w:hint="eastAsia" w:ascii="仿宋" w:hAnsi="仿宋" w:cs="仿宋"/>
          <w:snapToGrid/>
          <w:color w:val="auto"/>
          <w:szCs w:val="32"/>
          <w:highlight w:val="none"/>
          <w:shd w:val="clear" w:color="auto" w:fill="FFFFFF"/>
          <w:lang w:eastAsia="zh-CN" w:bidi="ar"/>
        </w:rPr>
        <w:t>审核机构依照规定进行公示以及向有关单位或者个人调查核实的时间，不计入前款规定的审核时限。</w:t>
      </w:r>
    </w:p>
    <w:p w14:paraId="2EA14FDE">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第三十四条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申请人获得保障资格的有效期为三年，保障起始时间或轮候起始时间以通过终审部门审核公示后次日开始计算。</w:t>
      </w:r>
    </w:p>
    <w:p w14:paraId="2A164442">
      <w:pPr>
        <w:widowControl/>
        <w:kinsoku/>
        <w:autoSpaceDE/>
        <w:autoSpaceDN/>
        <w:adjustRightInd/>
        <w:snapToGrid/>
        <w:ind w:firstLine="0" w:firstLineChars="0"/>
        <w:textAlignment w:val="auto"/>
        <w:rPr>
          <w:rFonts w:ascii="仿宋" w:hAnsi="仿宋" w:cs="仿宋"/>
          <w:snapToGrid/>
          <w:color w:val="auto"/>
          <w:szCs w:val="32"/>
          <w:shd w:val="clear" w:color="auto" w:fill="FFFFFF"/>
          <w:lang w:eastAsia="zh-CN" w:bidi="ar"/>
        </w:rPr>
      </w:pPr>
    </w:p>
    <w:p w14:paraId="58831A8B">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w:t>
      </w:r>
      <w:r>
        <w:rPr>
          <w:rFonts w:hint="eastAsia" w:ascii="黑体" w:hAnsi="黑体" w:eastAsia="黑体" w:cs="黑体"/>
          <w:sz w:val="32"/>
          <w:szCs w:val="32"/>
          <w:shd w:val="clear" w:color="auto" w:fill="FFFFFF"/>
          <w:lang w:bidi="ar"/>
        </w:rPr>
        <w:t>四</w:t>
      </w:r>
      <w:r>
        <w:rPr>
          <w:rFonts w:ascii="黑体" w:hAnsi="黑体" w:eastAsia="黑体" w:cs="黑体"/>
          <w:sz w:val="32"/>
          <w:szCs w:val="32"/>
          <w:shd w:val="clear" w:color="auto" w:fill="FFFFFF"/>
          <w:lang w:bidi="ar"/>
        </w:rPr>
        <w:t xml:space="preserve">章  </w:t>
      </w:r>
      <w:r>
        <w:rPr>
          <w:rFonts w:hint="eastAsia" w:ascii="黑体" w:hAnsi="黑体" w:eastAsia="黑体" w:cs="黑体"/>
          <w:sz w:val="32"/>
          <w:szCs w:val="32"/>
          <w:shd w:val="clear" w:color="auto" w:fill="FFFFFF"/>
          <w:lang w:bidi="ar"/>
        </w:rPr>
        <w:t>保障方式和标准</w:t>
      </w:r>
    </w:p>
    <w:p w14:paraId="01D80A8F">
      <w:pPr>
        <w:ind w:firstLine="643"/>
        <w:rPr>
          <w:rFonts w:ascii="仿宋" w:hAnsi="仿宋" w:cs="仿宋"/>
          <w:b/>
          <w:snapToGrid/>
          <w:color w:val="auto"/>
          <w:szCs w:val="32"/>
          <w:u w:val="single"/>
          <w:shd w:val="clear" w:color="auto" w:fill="FFFFFF"/>
          <w:lang w:eastAsia="zh-CN" w:bidi="ar"/>
        </w:rPr>
      </w:pPr>
      <w:r>
        <w:rPr>
          <w:rFonts w:hint="eastAsia" w:ascii="仿宋" w:hAnsi="仿宋" w:cs="仿宋"/>
          <w:b/>
          <w:snapToGrid/>
          <w:color w:val="auto"/>
          <w:szCs w:val="32"/>
          <w:shd w:val="clear" w:color="auto" w:fill="FFFFFF"/>
          <w:lang w:eastAsia="zh-CN" w:bidi="ar"/>
        </w:rPr>
        <w:t xml:space="preserve">第三十五条 </w:t>
      </w:r>
      <w:r>
        <w:rPr>
          <w:rFonts w:hint="eastAsia" w:ascii="仿宋" w:hAnsi="仿宋" w:cs="仿宋"/>
          <w:snapToGrid/>
          <w:color w:val="auto"/>
          <w:szCs w:val="32"/>
          <w:shd w:val="clear" w:color="auto" w:fill="FFFFFF"/>
          <w:lang w:eastAsia="zh-CN" w:bidi="ar"/>
        </w:rPr>
        <w:t xml:space="preserve"> 对符合低收入住房困难家庭类、较低收入住房困难家庭类条件的申请人，政府可以采取实物配租或者发放租赁住房补贴的方式予以保障。同一时期内，实物配租与租赁住房补贴只能选其一，其中租赁住房补贴自实物配租中签之日起当月停发。自有住房人均住房面积不足15平方米的家庭，只发放租赁补贴，不安排实物配租。</w:t>
      </w:r>
    </w:p>
    <w:p w14:paraId="4D5C9C1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对符合就业人员类条件的申请人，只通过实物配租方式予以保障。</w:t>
      </w:r>
    </w:p>
    <w:p w14:paraId="0892021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患有精神疾病或不具有完全民事行为能力的申请人，如需单独办理申请，由户籍所在地的社区居民委员会协助其申请。符合低收入住房困难家庭类、较低收入住房困难家庭类条件的申请人，又无监护人共同居住的，原则上不安排实物配租，只发放租赁住房补贴。</w:t>
      </w:r>
    </w:p>
    <w:p w14:paraId="495ABA7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市住房保障主管部门可以根据实际保障需要，会同财政等部门确定增加发放租赁住房补贴的保障类别，并报市人民政府批准实施。</w:t>
      </w:r>
    </w:p>
    <w:p w14:paraId="78B8BEA2">
      <w:pPr>
        <w:ind w:firstLine="643"/>
        <w:rPr>
          <w:rFonts w:ascii="仿宋" w:hAnsi="仿宋" w:cs="仿宋"/>
          <w:b/>
          <w:snapToGrid/>
          <w:color w:val="auto"/>
          <w:szCs w:val="32"/>
          <w:u w:val="single"/>
          <w:shd w:val="clear" w:color="auto" w:fill="FFFFFF"/>
          <w:lang w:eastAsia="zh-CN" w:bidi="ar"/>
        </w:rPr>
      </w:pPr>
      <w:r>
        <w:rPr>
          <w:rFonts w:hint="eastAsia" w:ascii="仿宋" w:hAnsi="仿宋" w:cs="仿宋"/>
          <w:b/>
          <w:snapToGrid/>
          <w:color w:val="auto"/>
          <w:szCs w:val="32"/>
          <w:shd w:val="clear" w:color="auto" w:fill="FFFFFF"/>
          <w:lang w:eastAsia="zh-CN" w:bidi="ar"/>
        </w:rPr>
        <w:t>第三十六条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政府按市场平均租金水平的一定比例分类发放租赁住房补贴，低收入住房困难家庭类按市场平均租金水平的90%左右发放，较低收入住房困难家庭类按市场平均租金水平的</w:t>
      </w:r>
      <w:r>
        <w:rPr>
          <w:rFonts w:ascii="仿宋" w:hAnsi="仿宋" w:cs="仿宋"/>
          <w:snapToGrid/>
          <w:color w:val="auto"/>
          <w:szCs w:val="32"/>
          <w:shd w:val="clear" w:color="auto" w:fill="FFFFFF"/>
          <w:lang w:eastAsia="zh-CN" w:bidi="ar"/>
        </w:rPr>
        <w:t>50</w:t>
      </w:r>
      <w:r>
        <w:rPr>
          <w:rFonts w:hint="eastAsia" w:ascii="仿宋" w:hAnsi="仿宋" w:cs="仿宋"/>
          <w:snapToGrid/>
          <w:color w:val="auto"/>
          <w:szCs w:val="32"/>
          <w:shd w:val="clear" w:color="auto" w:fill="FFFFFF"/>
          <w:lang w:eastAsia="zh-CN" w:bidi="ar"/>
        </w:rPr>
        <w:t>%左右发放。</w:t>
      </w:r>
    </w:p>
    <w:p w14:paraId="1C07872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区住房保障主管部门可以根据区域租金、保障对象承受能力等情况，会同同级财政等部门适时适当调整租赁住房补贴发放比例及标准，并报同级人民政府批准实施。</w:t>
      </w:r>
    </w:p>
    <w:p w14:paraId="408ABED8">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第三十七条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发放租赁住房补贴所需资金由市、区人民政府按照现行财政体制规定的比例负担。</w:t>
      </w:r>
    </w:p>
    <w:p w14:paraId="359D3C78">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第三十八条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按照家庭人口、代际结构以及家庭成员是否患有特定重大疾病等情形，确定家庭类型和分类系数，并根据不同的家庭类型和分类系数给予相应的收入豁免，家庭人均收入保障标准等于各类住房保障标准乘以家庭分类系数。</w:t>
      </w:r>
    </w:p>
    <w:p w14:paraId="517A4268">
      <w:pPr>
        <w:kinsoku/>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第三十九条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租赁住房补贴按照保障人口人均15平方米计算家庭可享受的保障面积（自有住房人均住房面积不足15平方米的，须扣除已有住房面积），并根据申请管辖区的平均市场租金、《家庭分类及收入豁免、补贴系数表》的家庭类别补贴系数、保障类别补贴系数确定可享受的租赁住房补贴。计算公式为：租赁住房补贴=人均可享受面积×家庭保障人口数×申请管辖区的平均市场租金×各类家庭补贴系数×保障类别补贴系数。</w:t>
      </w:r>
    </w:p>
    <w:p w14:paraId="7DF034DC">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公共租赁住房在实物配租时，若承租人存有家庭人均居住建筑面积低于15平方米的情形，须扣除已有的住房面积（符合租金减免条件的承租人，在核算租金时应将已有的住房面积在租金减免部分中一并扣除）。</w:t>
      </w:r>
    </w:p>
    <w:p w14:paraId="7F31052A">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无租金减免条件的，核算租金计算公式为：租金=房屋建筑面积×房屋所在项目的单位面积市场租金×类别比例。</w:t>
      </w:r>
    </w:p>
    <w:p w14:paraId="5F31EC83">
      <w:pPr>
        <w:kinsoku/>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符合租金减免条件的，减免部分核算租金计算公式为：（1）租金减免50%的家庭租金=〔房屋建筑面积-（家庭人口×15-已有住房建筑面积）×0.5〕×房屋所在项目的单位面积市场租金×类别比例；（2）租金减免100%家庭租金=〔房屋建筑面积-（家庭人口×15-已有住房建筑面积）〕×房屋所在项目的单位面积市场租金×类别比例。注：减免部分核算租金计算结果为负数，实收租金为零。</w:t>
      </w:r>
    </w:p>
    <w:p w14:paraId="3CE19027">
      <w:pPr>
        <w:ind w:firstLine="643"/>
        <w:rPr>
          <w:rFonts w:ascii="仿宋" w:hAnsi="仿宋" w:cs="仿宋"/>
          <w:b/>
          <w:snapToGrid/>
          <w:color w:val="auto"/>
          <w:szCs w:val="32"/>
          <w:u w:val="single"/>
          <w:shd w:val="clear" w:color="auto" w:fill="FFFFFF"/>
          <w:lang w:eastAsia="zh-CN" w:bidi="ar"/>
        </w:rPr>
      </w:pPr>
      <w:r>
        <w:rPr>
          <w:rFonts w:hint="eastAsia" w:ascii="仿宋" w:hAnsi="仿宋" w:cs="仿宋"/>
          <w:b/>
          <w:snapToGrid/>
          <w:color w:val="auto"/>
          <w:szCs w:val="32"/>
          <w:shd w:val="clear" w:color="auto" w:fill="FFFFFF"/>
          <w:lang w:eastAsia="zh-CN" w:bidi="ar"/>
        </w:rPr>
        <w:t>第四十条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承租政府公共租赁住房的承租人，按市场租金水平的一定比例支付租金。低收入住房困难家庭类按照10%左右收取，较低收入住房困难家庭类的按照</w:t>
      </w:r>
      <w:r>
        <w:rPr>
          <w:rFonts w:ascii="仿宋" w:hAnsi="仿宋" w:cs="仿宋"/>
          <w:snapToGrid/>
          <w:color w:val="auto"/>
          <w:szCs w:val="32"/>
          <w:shd w:val="clear" w:color="auto" w:fill="FFFFFF"/>
          <w:lang w:eastAsia="zh-CN" w:bidi="ar"/>
        </w:rPr>
        <w:t>40</w:t>
      </w:r>
      <w:r>
        <w:rPr>
          <w:rFonts w:hint="eastAsia" w:ascii="仿宋" w:hAnsi="仿宋" w:cs="仿宋"/>
          <w:snapToGrid/>
          <w:color w:val="auto"/>
          <w:szCs w:val="32"/>
          <w:shd w:val="clear" w:color="auto" w:fill="FFFFFF"/>
          <w:lang w:eastAsia="zh-CN" w:bidi="ar"/>
        </w:rPr>
        <w:t>%左右收取</w:t>
      </w: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就业人员类按照</w:t>
      </w:r>
      <w:r>
        <w:rPr>
          <w:rFonts w:ascii="仿宋" w:hAnsi="仿宋" w:cs="仿宋"/>
          <w:snapToGrid/>
          <w:color w:val="auto"/>
          <w:szCs w:val="32"/>
          <w:shd w:val="clear" w:color="auto" w:fill="FFFFFF"/>
          <w:lang w:eastAsia="zh-CN" w:bidi="ar"/>
        </w:rPr>
        <w:t>70</w:t>
      </w:r>
      <w:r>
        <w:rPr>
          <w:rFonts w:hint="eastAsia" w:ascii="仿宋" w:hAnsi="仿宋" w:cs="仿宋"/>
          <w:snapToGrid/>
          <w:color w:val="auto"/>
          <w:szCs w:val="32"/>
          <w:shd w:val="clear" w:color="auto" w:fill="FFFFFF"/>
          <w:lang w:eastAsia="zh-CN" w:bidi="ar"/>
        </w:rPr>
        <w:t>%左右收取。</w:t>
      </w:r>
    </w:p>
    <w:p w14:paraId="7ECF9F31">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第四十一条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市、区住房保障主管部门应按照《家庭分类及收入豁免、补贴系数表》的家庭分类和配租房型确定低收入住房困难家庭类、较低收入住房困难家庭类、就业人员类的配租方案。</w:t>
      </w:r>
    </w:p>
    <w:p w14:paraId="1BF95D97">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第四十二条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市场租金标准由区住房保障主管部门委托专业机构评估确定，并根据市场变动情况适时调整。区住房保障主管部门可根据本区经济发展状况和物价变动情况，合理制定租赁住房补贴标准，报区人民政府批准后执行。</w:t>
      </w:r>
    </w:p>
    <w:p w14:paraId="1CD80E45">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第四十三条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对符合以下情形之一配租政府公共租赁住房的在保家庭，可以在家庭保障面积（人均1</w:t>
      </w:r>
      <w:r>
        <w:rPr>
          <w:rFonts w:ascii="仿宋" w:hAnsi="仿宋" w:cs="仿宋"/>
          <w:snapToGrid/>
          <w:color w:val="auto"/>
          <w:szCs w:val="32"/>
          <w:shd w:val="clear" w:color="auto" w:fill="FFFFFF"/>
          <w:lang w:eastAsia="zh-CN" w:bidi="ar"/>
        </w:rPr>
        <w:t>5平方米</w:t>
      </w:r>
      <w:r>
        <w:rPr>
          <w:rFonts w:hint="eastAsia" w:ascii="仿宋" w:hAnsi="仿宋" w:cs="仿宋"/>
          <w:snapToGrid/>
          <w:color w:val="auto"/>
          <w:szCs w:val="32"/>
          <w:shd w:val="clear" w:color="auto" w:fill="FFFFFF"/>
          <w:lang w:eastAsia="zh-CN" w:bidi="ar"/>
        </w:rPr>
        <w:t>）内享受部分减免直至全部租金的政策优惠：</w:t>
      </w:r>
    </w:p>
    <w:p w14:paraId="2E9FE55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对持有《广东省优抚对象抚恤补助登记证》（电子证件）的残疾军人、烈士遗属、因公牺牲军人遗属、病故军人遗属、带病回乡退伍军人、参战涉核人员，以及获得有关证书的省级以上劳动模范，其中属低收入住房困难家庭类的租金全免，属其他类别的公共租赁住房保障对象租金减免应缴租金的50%。持有外省优抚对象抚恤补助证，需要本人到核发证件城市的退役军人事务管理部门开具证明，并注明开具单位联系人电话，以备核查。</w:t>
      </w:r>
    </w:p>
    <w:p w14:paraId="7ED17819">
      <w:pPr>
        <w:ind w:firstLine="640"/>
        <w:rPr>
          <w:rFonts w:ascii="仿宋" w:hAnsi="仿宋" w:cs="仿宋"/>
          <w:snapToGrid/>
          <w:color w:val="auto"/>
          <w:szCs w:val="32"/>
          <w:highlight w:val="none"/>
          <w:shd w:val="clear" w:color="auto" w:fill="FFFFFF"/>
          <w:lang w:eastAsia="zh-CN" w:bidi="ar"/>
        </w:rPr>
      </w:pPr>
      <w:r>
        <w:rPr>
          <w:rFonts w:hint="eastAsia" w:ascii="仿宋" w:hAnsi="仿宋" w:cs="仿宋"/>
          <w:snapToGrid/>
          <w:color w:val="auto"/>
          <w:szCs w:val="32"/>
          <w:shd w:val="clear" w:color="auto" w:fill="FFFFFF"/>
          <w:lang w:eastAsia="zh-CN" w:bidi="ar"/>
        </w:rPr>
        <w:t>（二）对年满60周岁以上无劳动能力、无生活来源又无法定赡养、抚养、扶养义务人的孤寡孤独老人，承租面积内租金</w:t>
      </w:r>
      <w:r>
        <w:rPr>
          <w:rFonts w:hint="eastAsia" w:ascii="仿宋" w:hAnsi="仿宋" w:cs="仿宋"/>
          <w:snapToGrid/>
          <w:color w:val="auto"/>
          <w:szCs w:val="32"/>
          <w:highlight w:val="none"/>
          <w:shd w:val="clear" w:color="auto" w:fill="FFFFFF"/>
          <w:lang w:eastAsia="zh-CN" w:bidi="ar"/>
        </w:rPr>
        <w:t>全免。</w:t>
      </w:r>
    </w:p>
    <w:p w14:paraId="078CB42C">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highlight w:val="none"/>
          <w:shd w:val="clear" w:color="auto" w:fill="FFFFFF"/>
          <w:lang w:eastAsia="zh-CN" w:bidi="ar"/>
        </w:rPr>
        <w:t>（三）对离休干部、革命“五老”人员（指的是我国抗日战争、解放战争时期为我党做过贡献，如今尚健在的老同志：（</w:t>
      </w:r>
      <w:r>
        <w:rPr>
          <w:rFonts w:hint="eastAsia" w:ascii="仿宋" w:hAnsi="仿宋" w:cs="仿宋"/>
          <w:snapToGrid/>
          <w:color w:val="auto"/>
          <w:szCs w:val="32"/>
          <w:highlight w:val="none"/>
          <w:shd w:val="clear" w:color="auto" w:fill="FFFFFF"/>
          <w:lang w:val="en-US" w:eastAsia="zh-CN" w:bidi="ar"/>
        </w:rPr>
        <w:t>1</w:t>
      </w:r>
      <w:r>
        <w:rPr>
          <w:rFonts w:hint="eastAsia" w:ascii="仿宋" w:hAnsi="仿宋" w:cs="仿宋"/>
          <w:snapToGrid/>
          <w:color w:val="auto"/>
          <w:szCs w:val="32"/>
          <w:highlight w:val="none"/>
          <w:shd w:val="clear" w:color="auto" w:fill="FFFFFF"/>
          <w:lang w:eastAsia="zh-CN" w:bidi="ar"/>
        </w:rPr>
        <w:t>）老地下党员；（</w:t>
      </w:r>
      <w:r>
        <w:rPr>
          <w:rFonts w:hint="eastAsia" w:ascii="仿宋" w:hAnsi="仿宋" w:cs="仿宋"/>
          <w:snapToGrid/>
          <w:color w:val="auto"/>
          <w:szCs w:val="32"/>
          <w:highlight w:val="none"/>
          <w:shd w:val="clear" w:color="auto" w:fill="FFFFFF"/>
          <w:lang w:val="en-US" w:eastAsia="zh-CN" w:bidi="ar"/>
        </w:rPr>
        <w:t>2</w:t>
      </w:r>
      <w:r>
        <w:rPr>
          <w:rFonts w:hint="eastAsia" w:ascii="仿宋" w:hAnsi="仿宋" w:cs="仿宋"/>
          <w:snapToGrid/>
          <w:color w:val="auto"/>
          <w:szCs w:val="32"/>
          <w:highlight w:val="none"/>
          <w:shd w:val="clear" w:color="auto" w:fill="FFFFFF"/>
          <w:lang w:eastAsia="zh-CN" w:bidi="ar"/>
        </w:rPr>
        <w:t>）老游击队员；（</w:t>
      </w:r>
      <w:r>
        <w:rPr>
          <w:rFonts w:hint="eastAsia" w:ascii="仿宋" w:hAnsi="仿宋" w:cs="仿宋"/>
          <w:snapToGrid/>
          <w:color w:val="auto"/>
          <w:szCs w:val="32"/>
          <w:highlight w:val="none"/>
          <w:shd w:val="clear" w:color="auto" w:fill="FFFFFF"/>
          <w:lang w:val="en-US" w:eastAsia="zh-CN" w:bidi="ar"/>
        </w:rPr>
        <w:t>3</w:t>
      </w:r>
      <w:r>
        <w:rPr>
          <w:rFonts w:hint="eastAsia" w:ascii="仿宋" w:hAnsi="仿宋" w:cs="仿宋"/>
          <w:snapToGrid/>
          <w:color w:val="auto"/>
          <w:szCs w:val="32"/>
          <w:highlight w:val="none"/>
          <w:shd w:val="clear" w:color="auto" w:fill="FFFFFF"/>
          <w:lang w:eastAsia="zh-CN" w:bidi="ar"/>
        </w:rPr>
        <w:t>）老交通员；（</w:t>
      </w:r>
      <w:r>
        <w:rPr>
          <w:rFonts w:hint="eastAsia" w:ascii="仿宋" w:hAnsi="仿宋" w:cs="仿宋"/>
          <w:snapToGrid/>
          <w:color w:val="auto"/>
          <w:szCs w:val="32"/>
          <w:highlight w:val="none"/>
          <w:shd w:val="clear" w:color="auto" w:fill="FFFFFF"/>
          <w:lang w:val="en-US" w:eastAsia="zh-CN" w:bidi="ar"/>
        </w:rPr>
        <w:t>4</w:t>
      </w:r>
      <w:r>
        <w:rPr>
          <w:rFonts w:hint="eastAsia" w:ascii="仿宋" w:hAnsi="仿宋" w:cs="仿宋"/>
          <w:snapToGrid/>
          <w:color w:val="auto"/>
          <w:szCs w:val="32"/>
          <w:highlight w:val="none"/>
          <w:shd w:val="clear" w:color="auto" w:fill="FFFFFF"/>
          <w:lang w:eastAsia="zh-CN" w:bidi="ar"/>
        </w:rPr>
        <w:t>）老接头户；（</w:t>
      </w:r>
      <w:r>
        <w:rPr>
          <w:rFonts w:hint="eastAsia" w:ascii="仿宋" w:hAnsi="仿宋" w:cs="仿宋"/>
          <w:snapToGrid/>
          <w:color w:val="auto"/>
          <w:szCs w:val="32"/>
          <w:highlight w:val="none"/>
          <w:shd w:val="clear" w:color="auto" w:fill="FFFFFF"/>
          <w:lang w:val="en-US" w:eastAsia="zh-CN" w:bidi="ar"/>
        </w:rPr>
        <w:t>5</w:t>
      </w:r>
      <w:r>
        <w:rPr>
          <w:rFonts w:hint="eastAsia" w:ascii="仿宋" w:hAnsi="仿宋" w:cs="仿宋"/>
          <w:snapToGrid/>
          <w:color w:val="auto"/>
          <w:szCs w:val="32"/>
          <w:highlight w:val="none"/>
          <w:shd w:val="clear" w:color="auto" w:fill="FFFFFF"/>
          <w:lang w:eastAsia="zh-CN" w:bidi="ar"/>
        </w:rPr>
        <w:t>）老苏区乡干部），承</w:t>
      </w:r>
      <w:r>
        <w:rPr>
          <w:rFonts w:hint="eastAsia" w:ascii="仿宋" w:hAnsi="仿宋" w:cs="仿宋"/>
          <w:snapToGrid/>
          <w:color w:val="auto"/>
          <w:szCs w:val="32"/>
          <w:shd w:val="clear" w:color="auto" w:fill="FFFFFF"/>
          <w:lang w:eastAsia="zh-CN" w:bidi="ar"/>
        </w:rPr>
        <w:t>租面积内租金全免。</w:t>
      </w:r>
    </w:p>
    <w:p w14:paraId="111D8449">
      <w:pPr>
        <w:kinsoku/>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对申请人、共同申请人领取了珠海市残联核发的1-2级重度残疾证或3级智力残疾证、珠海市劳动能力鉴定委员会核发的1-4级残疾《鉴定结论通知书》，属低收入住房困难家庭类的保障家庭租金全免，属其他类别的保障家庭租金减免50%。</w:t>
      </w:r>
    </w:p>
    <w:p w14:paraId="23423FFC">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（五）申请人或共同申请人因患特定重大疾病造成生活困难的，凭《珠海市医疗保险门诊特定病种核定单》，可在患病期间每月减免50％租金。</w:t>
      </w:r>
    </w:p>
    <w:p w14:paraId="6D571433">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第四十四条</w:t>
      </w:r>
      <w:r>
        <w:rPr>
          <w:rFonts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在保家庭实物配租减免的租金，由申请管辖的区人民政府承担。在保家庭租住政府公共租赁住房的，减免的租金由区财政部门直接支付给公共租赁住房产权单位或运营管理单位。</w:t>
      </w:r>
    </w:p>
    <w:p w14:paraId="7F529C5C">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第四十五条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除第四十三条规定情形外，在保家庭确实困难无力承担租金的，由区住房保障主管部门报区人民政府研究决定或报市住房保障联席会议研究决定。</w:t>
      </w:r>
    </w:p>
    <w:p w14:paraId="35427420">
      <w:pPr>
        <w:pStyle w:val="20"/>
        <w:ind w:firstLine="0" w:firstLineChars="0"/>
        <w:jc w:val="center"/>
        <w:outlineLvl w:val="0"/>
        <w:rPr>
          <w:rFonts w:ascii="黑体" w:hAnsi="黑体" w:eastAsia="黑体" w:cs="黑体"/>
          <w:sz w:val="32"/>
          <w:szCs w:val="32"/>
          <w:shd w:val="clear" w:color="auto" w:fill="FFFFFF"/>
          <w:lang w:bidi="ar"/>
        </w:rPr>
      </w:pPr>
    </w:p>
    <w:p w14:paraId="0313681C">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w:t>
      </w:r>
      <w:r>
        <w:rPr>
          <w:rFonts w:hint="eastAsia" w:ascii="黑体" w:hAnsi="黑体" w:eastAsia="黑体" w:cs="黑体"/>
          <w:sz w:val="32"/>
          <w:szCs w:val="32"/>
          <w:shd w:val="clear" w:color="auto" w:fill="FFFFFF"/>
          <w:lang w:bidi="ar"/>
        </w:rPr>
        <w:t>五</w:t>
      </w:r>
      <w:r>
        <w:rPr>
          <w:rFonts w:ascii="黑体" w:hAnsi="黑体" w:eastAsia="黑体" w:cs="黑体"/>
          <w:sz w:val="32"/>
          <w:szCs w:val="32"/>
          <w:shd w:val="clear" w:color="auto" w:fill="FFFFFF"/>
          <w:lang w:bidi="ar"/>
        </w:rPr>
        <w:t xml:space="preserve">章  </w:t>
      </w:r>
      <w:r>
        <w:rPr>
          <w:rFonts w:hint="eastAsia" w:ascii="黑体" w:hAnsi="黑体" w:eastAsia="黑体" w:cs="黑体"/>
          <w:sz w:val="32"/>
          <w:szCs w:val="32"/>
          <w:shd w:val="clear" w:color="auto" w:fill="FFFFFF"/>
          <w:lang w:bidi="ar"/>
        </w:rPr>
        <w:t>轮候和配租</w:t>
      </w:r>
    </w:p>
    <w:p w14:paraId="538E45BD">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第四十六条 </w:t>
      </w:r>
      <w:r>
        <w:rPr>
          <w:rFonts w:ascii="仿宋" w:hAnsi="仿宋" w:cs="仿宋"/>
          <w:snapToGrid/>
          <w:color w:val="auto"/>
          <w:szCs w:val="32"/>
          <w:shd w:val="clear" w:color="auto" w:fill="FFFFFF"/>
          <w:lang w:eastAsia="zh-CN" w:bidi="ar"/>
        </w:rPr>
        <w:t xml:space="preserve"> 公共租赁住房的分配实行分类轮候和公开配租制度。轮候规则及相关信息应当在市保障房平台公布。</w:t>
      </w:r>
    </w:p>
    <w:p w14:paraId="407D9882">
      <w:pPr>
        <w:ind w:firstLine="643"/>
        <w:rPr>
          <w:rFonts w:ascii="仿宋" w:hAnsi="仿宋" w:cs="仿宋"/>
          <w:b/>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第四十七条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区住房保障主管部门根据本年度可供分配的公共租赁住房房源及轮候到位申请人情况，制定区公共租赁住房供应计划，报同级人民政府批准后实施，同步报市住房保障主管部门备案。对房源充足的区，鼓励区住房保障主管部门面向本区以外的在册轮候人配租。</w:t>
      </w:r>
    </w:p>
    <w:p w14:paraId="5BA7DE48">
      <w:pPr>
        <w:ind w:firstLine="643"/>
        <w:rPr>
          <w:rFonts w:ascii="仿宋" w:hAnsi="仿宋" w:cs="仿宋"/>
          <w:b/>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第四十八条 </w:t>
      </w:r>
      <w:r>
        <w:rPr>
          <w:rFonts w:ascii="仿宋" w:hAnsi="仿宋" w:cs="仿宋"/>
          <w:snapToGrid/>
          <w:color w:val="auto"/>
          <w:szCs w:val="32"/>
          <w:shd w:val="clear" w:color="auto" w:fill="FFFFFF"/>
          <w:lang w:eastAsia="zh-CN" w:bidi="ar"/>
        </w:rPr>
        <w:t xml:space="preserve"> 区住房保障主管部门将公示后符合条件的公共租赁住房需求申报申请人，确定为公共租赁住房轮候申请人。</w:t>
      </w:r>
      <w:r>
        <w:rPr>
          <w:rFonts w:hint="eastAsia" w:ascii="仿宋" w:hAnsi="仿宋" w:cs="仿宋"/>
          <w:snapToGrid/>
          <w:color w:val="auto"/>
          <w:szCs w:val="32"/>
          <w:shd w:val="clear" w:color="auto" w:fill="FFFFFF"/>
          <w:lang w:eastAsia="zh-CN" w:bidi="ar"/>
        </w:rPr>
        <w:t>轮候时间一般为3年，最长不超过5年。</w:t>
      </w:r>
    </w:p>
    <w:p w14:paraId="0FF4CEB4">
      <w:pPr>
        <w:ind w:firstLine="643"/>
        <w:rPr>
          <w:rFonts w:ascii="仿宋" w:hAnsi="仿宋" w:cs="仿宋"/>
          <w:b/>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第四十九条  </w:t>
      </w:r>
      <w:r>
        <w:rPr>
          <w:rFonts w:hint="eastAsia" w:ascii="仿宋" w:hAnsi="仿宋" w:cs="仿宋"/>
          <w:snapToGrid/>
          <w:color w:val="auto"/>
          <w:szCs w:val="32"/>
          <w:shd w:val="clear" w:color="auto" w:fill="FFFFFF"/>
          <w:lang w:eastAsia="zh-CN" w:bidi="ar"/>
        </w:rPr>
        <w:t>在轮候期间内，申请人家庭成员、户籍、收入、不动产和财产等情况发生变化，应当30日内主动通过市保障房平台线上进行资格变更。对已轮候到位的申请人，区住房保障主管部门应当进行分配前再审核。经审核不符合条件的，取消配租资格。对领取补贴的申请人，区住房保障主管部门应当进行发放补贴前再审核。经审核不符合条件的，取消发放补贴。</w:t>
      </w:r>
    </w:p>
    <w:p w14:paraId="20C075DC">
      <w:pPr>
        <w:ind w:firstLine="640"/>
        <w:rPr>
          <w:snapToGrid/>
          <w:color w:val="auto"/>
          <w:shd w:val="clear" w:color="auto" w:fill="FFFFFF"/>
          <w:lang w:eastAsia="zh-CN" w:bidi="ar"/>
        </w:rPr>
      </w:pPr>
      <w:r>
        <w:rPr>
          <w:rFonts w:hint="eastAsia"/>
          <w:shd w:val="clear" w:color="auto" w:fill="FFFFFF"/>
          <w:lang w:eastAsia="zh-CN" w:bidi="ar"/>
        </w:rPr>
        <w:t>申请人须在</w:t>
      </w:r>
      <w:r>
        <w:rPr>
          <w:rFonts w:hint="eastAsia"/>
          <w:snapToGrid/>
          <w:color w:val="auto"/>
          <w:shd w:val="clear" w:color="auto" w:fill="FFFFFF"/>
          <w:lang w:eastAsia="zh-CN" w:bidi="ar"/>
        </w:rPr>
        <w:t>轮候时间到期前三个月进行资格复审，逾期未提交复审材料的</w:t>
      </w:r>
      <w:r>
        <w:rPr>
          <w:rFonts w:hint="eastAsia"/>
          <w:shd w:val="clear" w:color="auto" w:fill="FFFFFF"/>
          <w:lang w:eastAsia="zh-CN" w:bidi="ar"/>
        </w:rPr>
        <w:t>，</w:t>
      </w:r>
      <w:r>
        <w:rPr>
          <w:rFonts w:hint="eastAsia"/>
          <w:snapToGrid/>
          <w:color w:val="auto"/>
          <w:shd w:val="clear" w:color="auto" w:fill="FFFFFF"/>
          <w:lang w:eastAsia="zh-CN" w:bidi="ar"/>
        </w:rPr>
        <w:t>自动退出轮候库。</w:t>
      </w:r>
    </w:p>
    <w:p w14:paraId="2EAD7A1F">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第五十条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申请人死亡的，轮候人应当在共同申请人中重新确定申请人，新确定的申请人符合本办法规定申请条件的，保留其轮候排序；不符合本办法规定申请条件的，退出公共租赁住房轮候。</w:t>
      </w:r>
    </w:p>
    <w:p w14:paraId="6774C4A6">
      <w:pPr>
        <w:ind w:firstLine="640"/>
        <w:rPr>
          <w:rFonts w:ascii="仿宋" w:hAnsi="仿宋" w:cs="仿宋"/>
          <w:snapToGrid/>
          <w:color w:val="auto"/>
          <w:szCs w:val="32"/>
          <w:highlight w:val="none"/>
          <w:shd w:val="clear" w:color="auto" w:fill="FFFFFF"/>
          <w:lang w:eastAsia="zh-CN" w:bidi="ar"/>
        </w:rPr>
      </w:pPr>
      <w:r>
        <w:rPr>
          <w:rFonts w:hint="eastAsia" w:ascii="仿宋" w:hAnsi="仿宋" w:cs="仿宋"/>
          <w:snapToGrid/>
          <w:color w:val="auto"/>
          <w:szCs w:val="32"/>
          <w:shd w:val="clear" w:color="auto" w:fill="FFFFFF"/>
          <w:lang w:eastAsia="zh-CN" w:bidi="ar"/>
        </w:rPr>
        <w:t>申请人在轮候期间离异的，由符合本办法规定申请条件的一方按照原轮候排序继续轮候；离异双方均符合本办法规定申请条件的，由双方协商确定其中一方按照原轮候排序继续轮候；申请人在承租期间离异的，离异双方均符合本办法规定申请条件的，由双方协商确定其中一方按照原房屋继续承租，另一方自行重新申请</w:t>
      </w:r>
      <w:r>
        <w:rPr>
          <w:rFonts w:hint="eastAsia" w:ascii="仿宋" w:hAnsi="仿宋" w:cs="仿宋"/>
          <w:snapToGrid/>
          <w:color w:val="auto"/>
          <w:szCs w:val="32"/>
          <w:highlight w:val="none"/>
          <w:shd w:val="clear" w:color="auto" w:fill="FFFFFF"/>
          <w:lang w:eastAsia="zh-CN" w:bidi="ar"/>
        </w:rPr>
        <w:t>进行轮候排队。</w:t>
      </w:r>
    </w:p>
    <w:p w14:paraId="4EBE0BDF">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highlight w:val="none"/>
          <w:shd w:val="clear" w:color="auto" w:fill="FFFFFF"/>
          <w:lang w:eastAsia="zh-CN" w:bidi="ar"/>
        </w:rPr>
        <w:t>第五十一条</w:t>
      </w:r>
      <w:r>
        <w:rPr>
          <w:rFonts w:ascii="仿宋" w:hAnsi="仿宋" w:cs="仿宋"/>
          <w:snapToGrid/>
          <w:color w:val="auto"/>
          <w:szCs w:val="32"/>
          <w:highlight w:val="none"/>
          <w:shd w:val="clear" w:color="auto" w:fill="FFFFFF"/>
          <w:lang w:eastAsia="zh-CN" w:bidi="ar"/>
        </w:rPr>
        <w:t xml:space="preserve">  区</w:t>
      </w:r>
      <w:r>
        <w:rPr>
          <w:rFonts w:hint="eastAsia" w:ascii="仿宋" w:hAnsi="仿宋" w:cs="仿宋"/>
          <w:snapToGrid/>
          <w:color w:val="auto"/>
          <w:szCs w:val="32"/>
          <w:highlight w:val="none"/>
          <w:shd w:val="clear" w:color="auto" w:fill="FFFFFF"/>
          <w:lang w:eastAsia="zh-CN" w:bidi="ar"/>
        </w:rPr>
        <w:t>人民</w:t>
      </w:r>
      <w:r>
        <w:rPr>
          <w:rFonts w:ascii="仿宋" w:hAnsi="仿宋" w:cs="仿宋"/>
          <w:snapToGrid/>
          <w:color w:val="auto"/>
          <w:szCs w:val="32"/>
          <w:highlight w:val="none"/>
          <w:shd w:val="clear" w:color="auto" w:fill="FFFFFF"/>
          <w:lang w:eastAsia="zh-CN" w:bidi="ar"/>
        </w:rPr>
        <w:t>政府直接投资或委托企业投资建设的公共租赁住房，</w:t>
      </w:r>
      <w:r>
        <w:rPr>
          <w:rFonts w:hint="eastAsia" w:ascii="仿宋" w:hAnsi="仿宋" w:cs="仿宋"/>
          <w:snapToGrid/>
          <w:color w:val="auto"/>
          <w:szCs w:val="32"/>
          <w:highlight w:val="none"/>
          <w:shd w:val="clear" w:color="auto" w:fill="FFFFFF"/>
          <w:lang w:eastAsia="zh-CN" w:bidi="ar"/>
        </w:rPr>
        <w:t>区住房保障主管部门应制定项目配租方案，</w:t>
      </w:r>
      <w:r>
        <w:rPr>
          <w:rFonts w:ascii="仿宋" w:hAnsi="仿宋" w:cs="仿宋"/>
          <w:snapToGrid/>
          <w:color w:val="auto"/>
          <w:szCs w:val="32"/>
          <w:highlight w:val="none"/>
          <w:shd w:val="clear" w:color="auto" w:fill="FFFFFF"/>
          <w:lang w:eastAsia="zh-CN" w:bidi="ar"/>
        </w:rPr>
        <w:t>并报区</w:t>
      </w:r>
      <w:r>
        <w:rPr>
          <w:rFonts w:hint="eastAsia" w:ascii="仿宋" w:hAnsi="仿宋" w:cs="仿宋"/>
          <w:snapToGrid/>
          <w:color w:val="auto"/>
          <w:szCs w:val="32"/>
          <w:highlight w:val="none"/>
          <w:shd w:val="clear" w:color="auto" w:fill="FFFFFF"/>
          <w:lang w:eastAsia="zh-CN" w:bidi="ar"/>
        </w:rPr>
        <w:t>人民</w:t>
      </w:r>
      <w:r>
        <w:rPr>
          <w:rFonts w:ascii="仿宋" w:hAnsi="仿宋" w:cs="仿宋"/>
          <w:snapToGrid/>
          <w:color w:val="auto"/>
          <w:szCs w:val="32"/>
          <w:highlight w:val="none"/>
          <w:shd w:val="clear" w:color="auto" w:fill="FFFFFF"/>
          <w:lang w:eastAsia="zh-CN" w:bidi="ar"/>
        </w:rPr>
        <w:t>政府批准后实施，同步报送</w:t>
      </w:r>
      <w:r>
        <w:rPr>
          <w:rFonts w:hint="eastAsia" w:ascii="仿宋" w:hAnsi="仿宋" w:cs="仿宋"/>
          <w:snapToGrid/>
          <w:color w:val="auto"/>
          <w:szCs w:val="32"/>
          <w:highlight w:val="none"/>
          <w:shd w:val="clear" w:color="auto" w:fill="FFFFFF"/>
          <w:lang w:eastAsia="zh-CN" w:bidi="ar"/>
        </w:rPr>
        <w:t>市住房保</w:t>
      </w:r>
      <w:r>
        <w:rPr>
          <w:rFonts w:hint="eastAsia" w:ascii="仿宋" w:hAnsi="仿宋" w:cs="仿宋"/>
          <w:snapToGrid/>
          <w:color w:val="auto"/>
          <w:szCs w:val="32"/>
          <w:shd w:val="clear" w:color="auto" w:fill="FFFFFF"/>
          <w:lang w:eastAsia="zh-CN" w:bidi="ar"/>
        </w:rPr>
        <w:t>障主管部门备案</w:t>
      </w:r>
      <w:r>
        <w:rPr>
          <w:rFonts w:ascii="仿宋" w:hAnsi="仿宋" w:cs="仿宋"/>
          <w:snapToGrid/>
          <w:color w:val="auto"/>
          <w:szCs w:val="32"/>
          <w:shd w:val="clear" w:color="auto" w:fill="FFFFFF"/>
          <w:lang w:eastAsia="zh-CN" w:bidi="ar"/>
        </w:rPr>
        <w:t>。</w:t>
      </w:r>
    </w:p>
    <w:p w14:paraId="0C004AAB">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用人单位投资的公共租赁住房，原则上向本单位无房职工供应，具体的准入条件和</w:t>
      </w:r>
      <w:r>
        <w:rPr>
          <w:rFonts w:ascii="仿宋" w:hAnsi="仿宋" w:cs="仿宋"/>
          <w:snapToGrid/>
          <w:color w:val="auto"/>
          <w:szCs w:val="32"/>
          <w:shd w:val="clear" w:color="auto" w:fill="FFFFFF"/>
          <w:lang w:eastAsia="zh-CN" w:bidi="ar"/>
        </w:rPr>
        <w:t>配租方案</w:t>
      </w:r>
      <w:r>
        <w:rPr>
          <w:rFonts w:hint="eastAsia" w:ascii="仿宋" w:hAnsi="仿宋" w:cs="仿宋"/>
          <w:snapToGrid/>
          <w:color w:val="auto"/>
          <w:szCs w:val="32"/>
          <w:shd w:val="clear" w:color="auto" w:fill="FFFFFF"/>
          <w:lang w:eastAsia="zh-CN" w:bidi="ar"/>
        </w:rPr>
        <w:t>由用人单位制订并报区住房保障主管部门审查，审核通过后报市住房保障主管部门备案，有剩余房源的，鼓励向其他符合本市公共租赁住房保障条件的对象供应。</w:t>
      </w:r>
    </w:p>
    <w:p w14:paraId="73D4060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其他社会力量投资的公共租赁住房，主要向公共租赁住房轮候对象供应，具体的</w:t>
      </w:r>
      <w:r>
        <w:rPr>
          <w:rFonts w:ascii="仿宋" w:hAnsi="仿宋" w:cs="仿宋"/>
          <w:snapToGrid/>
          <w:color w:val="auto"/>
          <w:szCs w:val="32"/>
          <w:shd w:val="clear" w:color="auto" w:fill="FFFFFF"/>
          <w:lang w:eastAsia="zh-CN" w:bidi="ar"/>
        </w:rPr>
        <w:t>配租方案</w:t>
      </w:r>
      <w:r>
        <w:rPr>
          <w:rFonts w:hint="eastAsia" w:ascii="仿宋" w:hAnsi="仿宋" w:cs="仿宋"/>
          <w:snapToGrid/>
          <w:color w:val="auto"/>
          <w:szCs w:val="32"/>
          <w:shd w:val="clear" w:color="auto" w:fill="FFFFFF"/>
          <w:lang w:eastAsia="zh-CN" w:bidi="ar"/>
        </w:rPr>
        <w:t>由公共租赁住房的产权单位或者其委托的运营管理单位确定并报区住房保障主管部门审查，审核通过后报市住房保障主管部门备案。</w:t>
      </w:r>
    </w:p>
    <w:p w14:paraId="340627C3">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第五十二条</w:t>
      </w:r>
      <w:r>
        <w:rPr>
          <w:rFonts w:hint="eastAsia" w:ascii="仿宋" w:hAnsi="仿宋" w:cs="仿宋"/>
          <w:snapToGrid/>
          <w:color w:val="auto"/>
          <w:szCs w:val="32"/>
          <w:shd w:val="clear" w:color="auto" w:fill="FFFFFF"/>
          <w:lang w:eastAsia="zh-CN" w:bidi="ar"/>
        </w:rPr>
        <w:t xml:space="preserve"> </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公共租赁住房项目在市保障房平台发布配租公告，轮候申请人（家庭）在规定时间内进行配租意向登记。区住房保障主管部门按照配租公告确定的规则，会同相关部门对轮候申请人（家庭）进行资格审核，根据审核结果确定最终选房名单</w:t>
      </w: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轮候申请人（家庭）抽签选定住房后，最终结果在市保障房平台进行公示，承租申请人（家庭）应当在规定时间内与产权单位或者运营管理单位签订租赁合同。</w:t>
      </w:r>
    </w:p>
    <w:p w14:paraId="62F40F8E">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 xml:space="preserve">第五十三条  </w:t>
      </w:r>
      <w:r>
        <w:rPr>
          <w:rFonts w:hint="eastAsia" w:ascii="仿宋" w:hAnsi="仿宋" w:cs="仿宋"/>
          <w:snapToGrid/>
          <w:color w:val="auto"/>
          <w:szCs w:val="32"/>
          <w:shd w:val="clear" w:color="auto" w:fill="FFFFFF"/>
          <w:lang w:eastAsia="zh-CN" w:bidi="ar"/>
        </w:rPr>
        <w:t>申请人选定公共租赁住房时，有下列情形之一的，视同放弃配租资格，重新轮候：</w:t>
      </w:r>
    </w:p>
    <w:p w14:paraId="20C98F4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（一）获得选房资格后未按要求选房；</w:t>
      </w:r>
    </w:p>
    <w:p w14:paraId="704DABF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（二）已选房但未在规定时间内签订租赁合同；</w:t>
      </w:r>
    </w:p>
    <w:p w14:paraId="7C7DE04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（三）其他放弃配租资格的情形。</w:t>
      </w:r>
    </w:p>
    <w:p w14:paraId="40C72D08">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第五十四条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放弃实物配租资格重新轮候的申请人，轮候时间按以下确定：</w:t>
      </w:r>
    </w:p>
    <w:p w14:paraId="018BF83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（一）参加抽签并获得选房资格但放弃选房的，从参加抽签或摇号时间当日起重新轮候；</w:t>
      </w:r>
    </w:p>
    <w:p w14:paraId="1995D2D2">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（二）已选房但未在规定时间内签订租赁合同的，从规定签订租赁合同期限的最后一天重新轮候；</w:t>
      </w:r>
    </w:p>
    <w:p w14:paraId="5113E325">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（三）签订租赁合同后30日内未办理入住手续的，按签订租赁合同之日起第30日开始重新轮候。</w:t>
      </w:r>
    </w:p>
    <w:p w14:paraId="762F7F50">
      <w:pPr>
        <w:ind w:firstLine="643"/>
        <w:rPr>
          <w:rFonts w:ascii="仿宋" w:hAnsi="仿宋" w:cs="仿宋"/>
          <w:b/>
          <w:snapToGrid/>
          <w:color w:val="auto"/>
          <w:szCs w:val="32"/>
          <w:u w:val="single"/>
          <w:shd w:val="clear" w:color="auto" w:fill="FFFFFF"/>
          <w:lang w:eastAsia="zh-CN" w:bidi="ar"/>
        </w:rPr>
      </w:pPr>
      <w:r>
        <w:rPr>
          <w:rFonts w:hint="eastAsia" w:ascii="仿宋" w:hAnsi="仿宋" w:cs="仿宋"/>
          <w:b/>
          <w:snapToGrid/>
          <w:color w:val="auto"/>
          <w:szCs w:val="32"/>
          <w:shd w:val="clear" w:color="auto" w:fill="FFFFFF"/>
          <w:lang w:eastAsia="zh-CN" w:bidi="ar"/>
        </w:rPr>
        <w:t>第五十五条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两次放弃实物配租的申请人，属于低收入住房困难家庭类或较低收入住房困难家庭类的，只能享受租赁住房补贴保障方式。其他类别的，需重新提交申请，待审核通过后重新轮候。</w:t>
      </w:r>
    </w:p>
    <w:p w14:paraId="3ACD4B5E">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 xml:space="preserve">第五十六条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区住房保障主管部门可以根据房源情况安排一定数量的房源面向享受国家定期抚恤补助的优抚对象、符合第四十三条要求的孤老病残人员、消防救援人员、烈士遗属、因公牺牲和病故军人遗属、荣获省级以上道德模范、身边好人及最美退役军人等荣誉称号的、计划生育特殊困难家庭优先配租；加入基干民兵组织两年以上，受到地市级以上人民政府或同级军事机关表彰的基干民兵，可以优先配租。</w:t>
      </w:r>
    </w:p>
    <w:p w14:paraId="521CA096">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在房源充足的前提下，区住房保障主管部门可根据轮候家庭未成年子女数量，在户型选择方面给予适当照顾，家庭未成年子女3人及以上家庭可优先配租。</w:t>
      </w:r>
    </w:p>
    <w:p w14:paraId="6E40D164">
      <w:pPr>
        <w:ind w:firstLine="640"/>
        <w:rPr>
          <w:lang w:eastAsia="zh-CN"/>
        </w:rPr>
      </w:pPr>
    </w:p>
    <w:p w14:paraId="53F3588A">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第六章  使用管理和退出机制</w:t>
      </w:r>
    </w:p>
    <w:p w14:paraId="20BD7088">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第五十七条</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公共租赁住房租赁合同示范文本由市住房保障主管部门制定并公布。</w:t>
      </w:r>
      <w:r>
        <w:rPr>
          <w:rFonts w:hint="eastAsia" w:ascii="仿宋" w:hAnsi="仿宋" w:cs="仿宋"/>
          <w:snapToGrid/>
          <w:color w:val="auto"/>
          <w:szCs w:val="32"/>
          <w:shd w:val="clear" w:color="auto" w:fill="FFFFFF"/>
          <w:lang w:eastAsia="zh-CN" w:bidi="ar"/>
        </w:rPr>
        <w:t>公共租赁住房租赁合同期限与保障资格有效期截止时间一致，单次租赁合同期限最长为3年。</w:t>
      </w:r>
    </w:p>
    <w:p w14:paraId="65C2D7DE">
      <w:pPr>
        <w:ind w:firstLine="643"/>
        <w:rPr>
          <w:color w:val="auto"/>
          <w:shd w:val="clear" w:color="auto" w:fill="FFFFFF"/>
          <w:lang w:eastAsia="zh-CN" w:bidi="ar"/>
        </w:rPr>
      </w:pPr>
      <w:r>
        <w:rPr>
          <w:rFonts w:ascii="仿宋" w:hAnsi="仿宋" w:cs="仿宋"/>
          <w:b/>
          <w:snapToGrid/>
          <w:color w:val="auto"/>
          <w:szCs w:val="32"/>
          <w:shd w:val="clear" w:color="auto" w:fill="FFFFFF"/>
          <w:lang w:eastAsia="zh-CN" w:bidi="ar"/>
        </w:rPr>
        <w:t xml:space="preserve">第五十八条 </w:t>
      </w:r>
      <w:r>
        <w:rPr>
          <w:rFonts w:ascii="仿宋" w:hAnsi="仿宋" w:cs="仿宋"/>
          <w:snapToGrid/>
          <w:color w:val="auto"/>
          <w:szCs w:val="32"/>
          <w:shd w:val="clear" w:color="auto" w:fill="FFFFFF"/>
          <w:lang w:eastAsia="zh-CN" w:bidi="ar"/>
        </w:rPr>
        <w:t xml:space="preserve"> 承租人应当按照公共租赁住房租赁合同约定使用公共租赁住房</w:t>
      </w:r>
      <w:r>
        <w:rPr>
          <w:rFonts w:hint="eastAsia" w:ascii="仿宋" w:hAnsi="仿宋" w:cs="仿宋"/>
          <w:snapToGrid/>
          <w:color w:val="auto"/>
          <w:szCs w:val="32"/>
          <w:shd w:val="clear" w:color="auto" w:fill="FFFFFF"/>
          <w:lang w:eastAsia="zh-CN" w:bidi="ar"/>
        </w:rPr>
        <w:t>，按期缴纳租金及相关费用。承租人不得闲置、转租、转借、擅自调换配租房屋，不得损毁、破坏配租房屋，不得擅自装修房屋和改变房屋用途、结构及配套设施。</w:t>
      </w:r>
    </w:p>
    <w:p w14:paraId="69686E39">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第五十九条</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 xml:space="preserve"> 承租期间，因申请人家庭人口数增加需要提高配租面积标准的，可以再次申请轮候公共租赁住房。</w:t>
      </w:r>
    </w:p>
    <w:p w14:paraId="46A286E0">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承租期间，申请人家庭人口数减少不再符合原住房配租面积标准的，可以继续承租至租赁期限届满。租赁合同期限届满申请续租的，区住房保障主管部门根据情况调整相应面积标准的房源，或者对超出配租面积标准的部分按照市场参考租金计收。</w:t>
      </w:r>
    </w:p>
    <w:p w14:paraId="16A1EA0B">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第六十条</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 xml:space="preserve"> 租赁合同期限届满需要续租的，承租人应在租赁期届满前3个月向区住房保障主管部门提出申请。经审核符合条件且公示无异议的，准予续租并按照新获批的住保资格计收租金。未按规定提出续租申请的承租人，租赁期满应当退出配租房屋。</w:t>
      </w:r>
    </w:p>
    <w:p w14:paraId="5EED565A">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在租赁合同到期前已提起续租资格年审，但在租赁合同到期时仍处于审批状态，承租人可延期租住至终审公示结束当月，审核通过后按新保障类别新签合同，延期租住期间租金按新签合同执行；如审核后不通过的，承租人须在审核不通过当月退出配租房屋，并从合同到期开始按市场租金缴纳租金。</w:t>
      </w:r>
    </w:p>
    <w:p w14:paraId="3AE88263">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第六十一条 </w:t>
      </w:r>
      <w:r>
        <w:rPr>
          <w:rFonts w:ascii="仿宋" w:hAnsi="仿宋" w:cs="仿宋"/>
          <w:snapToGrid/>
          <w:color w:val="auto"/>
          <w:szCs w:val="32"/>
          <w:shd w:val="clear" w:color="auto" w:fill="FFFFFF"/>
          <w:lang w:eastAsia="zh-CN" w:bidi="ar"/>
        </w:rPr>
        <w:t xml:space="preserve"> 政府投资的公共租赁住房的租金收入按照政府非税收入管理的有关规定缴入</w:t>
      </w:r>
      <w:bookmarkStart w:id="0" w:name="OLE_LINK3"/>
      <w:r>
        <w:rPr>
          <w:rFonts w:ascii="仿宋" w:hAnsi="仿宋" w:cs="仿宋"/>
          <w:snapToGrid/>
          <w:color w:val="auto"/>
          <w:szCs w:val="32"/>
          <w:shd w:val="clear" w:color="auto" w:fill="FFFFFF"/>
          <w:lang w:eastAsia="zh-CN" w:bidi="ar"/>
        </w:rPr>
        <w:t>同级国库</w:t>
      </w:r>
      <w:bookmarkEnd w:id="0"/>
      <w:r>
        <w:rPr>
          <w:rFonts w:ascii="仿宋" w:hAnsi="仿宋" w:cs="仿宋"/>
          <w:snapToGrid/>
          <w:color w:val="auto"/>
          <w:szCs w:val="32"/>
          <w:shd w:val="clear" w:color="auto" w:fill="FFFFFF"/>
          <w:lang w:eastAsia="zh-CN" w:bidi="ar"/>
        </w:rPr>
        <w:t>，实行收支两条线管理，优先</w:t>
      </w:r>
      <w:r>
        <w:rPr>
          <w:rFonts w:hint="eastAsia" w:ascii="仿宋" w:hAnsi="仿宋" w:cs="仿宋"/>
          <w:snapToGrid/>
          <w:color w:val="auto"/>
          <w:szCs w:val="32"/>
          <w:shd w:val="clear" w:color="auto" w:fill="FFFFFF"/>
          <w:lang w:eastAsia="zh-CN" w:bidi="ar"/>
        </w:rPr>
        <w:t>提取租金收入的一定比例</w:t>
      </w:r>
      <w:r>
        <w:rPr>
          <w:rFonts w:ascii="仿宋" w:hAnsi="仿宋" w:cs="仿宋"/>
          <w:snapToGrid/>
          <w:color w:val="auto"/>
          <w:szCs w:val="32"/>
          <w:shd w:val="clear" w:color="auto" w:fill="FFFFFF"/>
          <w:lang w:eastAsia="zh-CN" w:bidi="ar"/>
        </w:rPr>
        <w:t>用于偿还公共租赁住房贷款本息、物业</w:t>
      </w:r>
      <w:r>
        <w:rPr>
          <w:rFonts w:hint="eastAsia" w:ascii="仿宋" w:hAnsi="仿宋" w:cs="仿宋"/>
          <w:snapToGrid/>
          <w:color w:val="auto"/>
          <w:szCs w:val="32"/>
          <w:shd w:val="clear" w:color="auto" w:fill="FFFFFF"/>
          <w:lang w:eastAsia="zh-CN" w:bidi="ar"/>
        </w:rPr>
        <w:t>服务</w:t>
      </w:r>
      <w:r>
        <w:rPr>
          <w:rFonts w:ascii="仿宋" w:hAnsi="仿宋" w:cs="仿宋"/>
          <w:snapToGrid/>
          <w:color w:val="auto"/>
          <w:szCs w:val="32"/>
          <w:shd w:val="clear" w:color="auto" w:fill="FFFFFF"/>
          <w:lang w:eastAsia="zh-CN" w:bidi="ar"/>
        </w:rPr>
        <w:t>费补贴及公共租赁住房的建设、维护和管理。</w:t>
      </w:r>
    </w:p>
    <w:p w14:paraId="2B1606E8">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第六十二条</w:t>
      </w:r>
      <w:r>
        <w:rPr>
          <w:rFonts w:ascii="仿宋" w:hAnsi="仿宋" w:cs="仿宋"/>
          <w:snapToGrid/>
          <w:color w:val="auto"/>
          <w:szCs w:val="32"/>
          <w:shd w:val="clear" w:color="auto" w:fill="FFFFFF"/>
          <w:lang w:eastAsia="zh-CN" w:bidi="ar"/>
        </w:rPr>
        <w:t xml:space="preserve">  低收入住房困难家庭租赁公共租赁住房的，其物业</w:t>
      </w:r>
      <w:r>
        <w:rPr>
          <w:rFonts w:hint="eastAsia" w:ascii="仿宋" w:hAnsi="仿宋" w:cs="仿宋"/>
          <w:snapToGrid/>
          <w:color w:val="auto"/>
          <w:szCs w:val="32"/>
          <w:shd w:val="clear" w:color="auto" w:fill="FFFFFF"/>
          <w:lang w:eastAsia="zh-CN" w:bidi="ar"/>
        </w:rPr>
        <w:t>服务</w:t>
      </w:r>
      <w:r>
        <w:rPr>
          <w:rFonts w:ascii="仿宋" w:hAnsi="仿宋" w:cs="仿宋"/>
          <w:snapToGrid/>
          <w:color w:val="auto"/>
          <w:szCs w:val="32"/>
          <w:shd w:val="clear" w:color="auto" w:fill="FFFFFF"/>
          <w:lang w:eastAsia="zh-CN" w:bidi="ar"/>
        </w:rPr>
        <w:t>费按应缴标准的50%交纳，剩余50%的费用由申请人所在区人民政府对物业服务企业予以补贴。</w:t>
      </w:r>
    </w:p>
    <w:p w14:paraId="1974611B">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第六十三条 </w:t>
      </w:r>
      <w:r>
        <w:rPr>
          <w:rFonts w:ascii="仿宋" w:hAnsi="仿宋" w:cs="仿宋"/>
          <w:snapToGrid/>
          <w:color w:val="auto"/>
          <w:szCs w:val="32"/>
          <w:shd w:val="clear" w:color="auto" w:fill="FFFFFF"/>
          <w:lang w:eastAsia="zh-CN" w:bidi="ar"/>
        </w:rPr>
        <w:t xml:space="preserve"> 公共租赁住房的产权单位或运营管理单位，负责公共租赁住房及其配套设施管理和维修养护。集中建设的公共租赁住房小区的物业服务，由住房保障管理机构或产权单位主导，公开选聘物业服务企业提供服务。</w:t>
      </w:r>
    </w:p>
    <w:p w14:paraId="636C2373">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第六十四条 </w:t>
      </w:r>
      <w:r>
        <w:rPr>
          <w:rFonts w:ascii="仿宋" w:hAnsi="仿宋" w:cs="仿宋"/>
          <w:b/>
          <w:bCs/>
          <w:color w:val="auto"/>
          <w:shd w:val="clear" w:color="auto" w:fill="FFFFFF"/>
          <w:lang w:eastAsia="zh-CN" w:bidi="ar"/>
        </w:rPr>
        <w:t xml:space="preserve"> </w:t>
      </w:r>
      <w:r>
        <w:rPr>
          <w:rFonts w:ascii="仿宋" w:hAnsi="仿宋" w:cs="仿宋"/>
          <w:snapToGrid/>
          <w:color w:val="auto"/>
          <w:szCs w:val="32"/>
          <w:shd w:val="clear" w:color="auto" w:fill="FFFFFF"/>
          <w:lang w:eastAsia="zh-CN" w:bidi="ar"/>
        </w:rPr>
        <w:t>承租人有下列情形之一的，应当退回公共租赁住房：</w:t>
      </w:r>
    </w:p>
    <w:p w14:paraId="3169EA52">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（一）</w:t>
      </w:r>
      <w:r>
        <w:rPr>
          <w:rFonts w:hint="eastAsia" w:ascii="仿宋" w:hAnsi="仿宋" w:cs="仿宋"/>
          <w:snapToGrid/>
          <w:color w:val="auto"/>
          <w:szCs w:val="32"/>
          <w:shd w:val="clear" w:color="auto" w:fill="FFFFFF"/>
          <w:lang w:eastAsia="zh-CN" w:bidi="ar"/>
        </w:rPr>
        <w:t>租赁期内，因购买、接受赠与、继承、婚姻状况变化等在本市拥有自有住房的；</w:t>
      </w:r>
    </w:p>
    <w:p w14:paraId="31291E7E">
      <w:pPr>
        <w:ind w:firstLine="640"/>
        <w:rPr>
          <w:rFonts w:hint="eastAsia"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（二）租赁期内，低收入住房困难家庭和较低收入住房困难家庭的全部家庭成员户籍均迁出本市的；</w:t>
      </w:r>
    </w:p>
    <w:p w14:paraId="61A5A227">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（三）租赁期内，因工作变动而离开本市，不再符合配租条件的；</w:t>
      </w:r>
    </w:p>
    <w:p w14:paraId="07CFBC3F">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（四）租赁期内，获得其他政策性住房（承租市场主体对外运营的保障性租赁住房除外）或住房补贴的；</w:t>
      </w:r>
    </w:p>
    <w:p w14:paraId="3A316C58">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（五）未在规定期限内提出续租申请的；</w:t>
      </w:r>
    </w:p>
    <w:p w14:paraId="101E4FF9">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（六）擅自互换、出借、转租、抵押所承租公共租赁住房的；</w:t>
      </w:r>
    </w:p>
    <w:p w14:paraId="1E914A7C">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（七）将所承租公共租赁住房用于经营性用途或者改变使用功能的；</w:t>
      </w:r>
    </w:p>
    <w:p w14:paraId="4D2937B8">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（八）无正当理由连续6个月以上闲置公共租赁住房的；</w:t>
      </w:r>
    </w:p>
    <w:p w14:paraId="0792A7B5">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（九）无正当理由连续2个月或者累计6个月以上未交纳租金、物业</w:t>
      </w:r>
      <w:r>
        <w:rPr>
          <w:rFonts w:hint="eastAsia" w:ascii="仿宋" w:hAnsi="仿宋" w:cs="仿宋"/>
          <w:snapToGrid/>
          <w:color w:val="auto"/>
          <w:szCs w:val="32"/>
          <w:shd w:val="clear" w:color="auto" w:fill="FFFFFF"/>
          <w:lang w:eastAsia="zh-CN" w:bidi="ar"/>
        </w:rPr>
        <w:t>服务</w:t>
      </w:r>
      <w:r>
        <w:rPr>
          <w:rFonts w:ascii="仿宋" w:hAnsi="仿宋" w:cs="仿宋"/>
          <w:snapToGrid/>
          <w:color w:val="auto"/>
          <w:szCs w:val="32"/>
          <w:shd w:val="clear" w:color="auto" w:fill="FFFFFF"/>
          <w:lang w:eastAsia="zh-CN" w:bidi="ar"/>
        </w:rPr>
        <w:t>费及其他费用的；</w:t>
      </w:r>
    </w:p>
    <w:p w14:paraId="2AACA76E">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（十）因故意或者重大过失，造成所承租的公共租赁住房严重毁损的；</w:t>
      </w:r>
    </w:p>
    <w:p w14:paraId="3770C354">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（十一）擅自装修所承租公共租赁住房，拒不恢复原状的；</w:t>
      </w:r>
    </w:p>
    <w:p w14:paraId="28D9E6A3">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（十二）在公共租赁住房内从事违法活动的；</w:t>
      </w:r>
    </w:p>
    <w:p w14:paraId="4B586BE6">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（十三）法律、法规规定或者合同约定的其他违法、违约情形。</w:t>
      </w:r>
    </w:p>
    <w:p w14:paraId="3776ECD0">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第六十五条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建立公共租赁住房过渡保障线制度。在保家庭有下列情形超出本办法规定在保类别保障标准一定幅度的，仍保留其原保障类别的住房保障资格，由区住房保障主管部门核发《过渡保障资格通知书》，但提供虚假资料骗取住房保障的除外。</w:t>
      </w:r>
    </w:p>
    <w:p w14:paraId="394CAE87">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（一）低收入住房困难家庭类和较低收入住房困难家庭类在保家庭因经济状况变更，家庭人均收入增加额在保障标准</w:t>
      </w:r>
      <w:r>
        <w:rPr>
          <w:rFonts w:ascii="仿宋" w:hAnsi="仿宋" w:cs="仿宋"/>
          <w:snapToGrid/>
          <w:color w:val="auto"/>
          <w:szCs w:val="32"/>
          <w:shd w:val="clear" w:color="auto" w:fill="FFFFFF"/>
          <w:lang w:eastAsia="zh-CN" w:bidi="ar"/>
        </w:rPr>
        <w:t>20%（含本数）以内的，仍按照原保障标准类别保障。已享受家庭分类收入豁免系统优惠的，不得重复享受。</w:t>
      </w:r>
    </w:p>
    <w:p w14:paraId="6A5603A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因购买住房原因已不符合本办法规定的，享受租赁住房补贴的，从签订商品住房预购合同之日起次月开始停发补贴。享受实物配租的，在保家庭可以申请继续租住原住房至所购住房入住时间，按原类别缴交租金。所购住房为精装修的住房（含二手房）的，住房入住时间按住房实际交付时间后延三个月计算；所购住房为毛坯住房的，入住时间按住房实际交付时间后延六个月计算。超出过渡保障期限的，按照市场租金水平计收租金。</w:t>
      </w:r>
    </w:p>
    <w:p w14:paraId="6C101607">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第六十六条</w:t>
      </w:r>
      <w:r>
        <w:rPr>
          <w:rFonts w:ascii="仿宋" w:hAnsi="仿宋" w:cs="仿宋"/>
          <w:b/>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在资格定期复核中发现在保家庭人均收入连续12个月超出过渡保障线的，从次月起取消原保障类别的住房保障资格及所享受的住房保障待遇。如果仍符合其他类别保障条件的，转入其他类别，重新核发《类别转换住房保障资格通知书》。已经不再符合保障条件的，退出保障并核发《取消住房保障资格通知书》。</w:t>
      </w:r>
    </w:p>
    <w:p w14:paraId="52DE4B64">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第六十七条</w:t>
      </w:r>
      <w:r>
        <w:rPr>
          <w:rFonts w:hint="eastAsia" w:ascii="仿宋" w:hAnsi="仿宋" w:cs="仿宋"/>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承租人应当退回公共租赁住房的，自收到解除合同或者终止合同通知之日起30日内搬迁，并结清房屋租金及水、电、气、物业服务费等。承租人有正当理由无法按期搬迁的，可以在收到解除合同或者终止合同通知之日起</w:t>
      </w:r>
      <w:r>
        <w:rPr>
          <w:rFonts w:ascii="仿宋" w:hAnsi="仿宋" w:cs="仿宋"/>
          <w:snapToGrid/>
          <w:color w:val="auto"/>
          <w:szCs w:val="32"/>
          <w:shd w:val="clear" w:color="auto" w:fill="FFFFFF"/>
          <w:lang w:eastAsia="zh-CN" w:bidi="ar"/>
        </w:rPr>
        <w:t>7日内</w:t>
      </w:r>
      <w:r>
        <w:rPr>
          <w:rFonts w:hint="eastAsia" w:ascii="仿宋" w:hAnsi="仿宋" w:cs="仿宋"/>
          <w:snapToGrid/>
          <w:color w:val="auto"/>
          <w:szCs w:val="32"/>
          <w:shd w:val="clear" w:color="auto" w:fill="FFFFFF"/>
          <w:lang w:eastAsia="zh-CN" w:bidi="ar"/>
        </w:rPr>
        <w:t>向区住房保障主管部门申请最长不超过</w:t>
      </w:r>
      <w:r>
        <w:rPr>
          <w:rFonts w:ascii="仿宋" w:hAnsi="仿宋" w:cs="仿宋"/>
          <w:snapToGrid/>
          <w:color w:val="auto"/>
          <w:szCs w:val="32"/>
          <w:shd w:val="clear" w:color="auto" w:fill="FFFFFF"/>
          <w:lang w:eastAsia="zh-CN" w:bidi="ar"/>
        </w:rPr>
        <w:t>6个月的延长居住期限。</w:t>
      </w:r>
      <w:r>
        <w:rPr>
          <w:rFonts w:hint="eastAsia" w:ascii="仿宋" w:hAnsi="仿宋" w:cs="仿宋"/>
          <w:snapToGrid/>
          <w:color w:val="auto"/>
          <w:szCs w:val="32"/>
          <w:shd w:val="clear" w:color="auto" w:fill="FFFFFF"/>
          <w:lang w:eastAsia="zh-CN" w:bidi="ar"/>
        </w:rPr>
        <w:t>延长期内，按照同区域同类型住房的市场租金收取租金。对无正当理由拒不退回公共租赁住房及已不符合承租条件的承租人，由区</w:t>
      </w:r>
      <w:r>
        <w:rPr>
          <w:rFonts w:ascii="仿宋" w:hAnsi="仿宋" w:cs="仿宋"/>
          <w:snapToGrid/>
          <w:color w:val="auto"/>
          <w:szCs w:val="32"/>
          <w:shd w:val="clear" w:color="auto" w:fill="FFFFFF"/>
          <w:lang w:eastAsia="zh-CN" w:bidi="ar"/>
        </w:rPr>
        <w:t>住房保障主管部门</w:t>
      </w:r>
      <w:r>
        <w:rPr>
          <w:rFonts w:hint="eastAsia" w:ascii="仿宋" w:hAnsi="仿宋" w:cs="仿宋"/>
          <w:snapToGrid/>
          <w:color w:val="auto"/>
          <w:szCs w:val="32"/>
          <w:shd w:val="clear" w:color="auto" w:fill="FFFFFF"/>
          <w:lang w:eastAsia="zh-CN" w:bidi="ar"/>
        </w:rPr>
        <w:t>负责组织清退工作。</w:t>
      </w:r>
    </w:p>
    <w:p w14:paraId="10514474">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享受租赁住房补贴的家庭，从类别转换或取消住房保障资格的次月起增减补贴或停发租赁住房补贴。</w:t>
      </w:r>
    </w:p>
    <w:p w14:paraId="12DD51A5">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第六十八条</w:t>
      </w:r>
      <w:r>
        <w:rPr>
          <w:rFonts w:hint="eastAsia" w:ascii="仿宋" w:hAnsi="仿宋" w:cs="仿宋"/>
          <w:snapToGrid/>
          <w:color w:val="auto"/>
          <w:szCs w:val="32"/>
          <w:shd w:val="clear" w:color="auto" w:fill="FFFFFF"/>
          <w:lang w:eastAsia="zh-CN" w:bidi="ar"/>
        </w:rPr>
        <w:t xml:space="preserve">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承租企业团租公共租赁住房的用人单位因破产、被吊销营业执照等不再具备法人资格，或者注册地址迁出本市的，应当在三个月以内腾退公共租赁住房。</w:t>
      </w:r>
    </w:p>
    <w:p w14:paraId="69532E62">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第六十九条</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市、区住房保障主管部门应当加强对公共租赁住房使用的监督检查。区住房保障主管部门应对公共租赁住房在保家庭每三年进行定期资格复核。</w:t>
      </w:r>
    </w:p>
    <w:p w14:paraId="5DF62C76">
      <w:pPr>
        <w:ind w:firstLine="640"/>
        <w:rPr>
          <w:rFonts w:ascii="仿宋" w:hAnsi="仿宋" w:cs="仿宋"/>
          <w:snapToGrid/>
          <w:color w:val="auto"/>
          <w:szCs w:val="32"/>
          <w:highlight w:val="yellow"/>
          <w:shd w:val="clear" w:color="auto" w:fill="FFFFFF"/>
          <w:lang w:eastAsia="zh-CN" w:bidi="ar"/>
        </w:rPr>
      </w:pPr>
      <w:r>
        <w:rPr>
          <w:rFonts w:hint="eastAsia" w:ascii="仿宋" w:hAnsi="仿宋" w:cs="仿宋"/>
          <w:snapToGrid/>
          <w:color w:val="auto"/>
          <w:szCs w:val="32"/>
          <w:shd w:val="clear" w:color="auto" w:fill="FFFFFF"/>
          <w:lang w:eastAsia="zh-CN" w:bidi="ar"/>
        </w:rPr>
        <w:t>公共租赁住房运营管理单位及产权单位应当落实治安、消防等安全管理职责，遵守相关治安管理规定，巡查发现承租人有违反本办法规定行为的，应当及时依法处理或者向有关部门报告。</w:t>
      </w:r>
    </w:p>
    <w:p w14:paraId="407BC190">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全面纳入城市网格化管理和社区综合治理，镇政府（街道办）、园区管委会应对辖区内公共租赁住房落实属地管理责任，加强对运营单位和物业服务企业的指导检查，并对公共租赁住房使用管理情况进行巡查。</w:t>
      </w:r>
    </w:p>
    <w:p w14:paraId="2E4C82EA">
      <w:pPr>
        <w:pStyle w:val="2"/>
        <w:rPr>
          <w:rFonts w:ascii="仿宋" w:hAnsi="仿宋" w:eastAsia="仿宋"/>
          <w:sz w:val="32"/>
          <w:szCs w:val="32"/>
          <w:lang w:bidi="ar"/>
        </w:rPr>
      </w:pPr>
    </w:p>
    <w:p w14:paraId="192F79F8">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w:t>
      </w:r>
      <w:r>
        <w:rPr>
          <w:rFonts w:hint="eastAsia" w:ascii="黑体" w:hAnsi="黑体" w:eastAsia="黑体" w:cs="黑体"/>
          <w:sz w:val="32"/>
          <w:szCs w:val="32"/>
          <w:shd w:val="clear" w:color="auto" w:fill="FFFFFF"/>
          <w:lang w:bidi="ar"/>
        </w:rPr>
        <w:t>七</w:t>
      </w:r>
      <w:r>
        <w:rPr>
          <w:rFonts w:ascii="黑体" w:hAnsi="黑体" w:eastAsia="黑体" w:cs="黑体"/>
          <w:sz w:val="32"/>
          <w:szCs w:val="32"/>
          <w:shd w:val="clear" w:color="auto" w:fill="FFFFFF"/>
          <w:lang w:bidi="ar"/>
        </w:rPr>
        <w:t xml:space="preserve">章  </w:t>
      </w:r>
      <w:r>
        <w:rPr>
          <w:rFonts w:hint="eastAsia" w:ascii="黑体" w:hAnsi="黑体" w:eastAsia="黑体" w:cs="黑体"/>
          <w:sz w:val="32"/>
          <w:szCs w:val="32"/>
          <w:shd w:val="clear" w:color="auto" w:fill="FFFFFF"/>
          <w:lang w:bidi="ar"/>
        </w:rPr>
        <w:t>法律责任</w:t>
      </w:r>
    </w:p>
    <w:p w14:paraId="532CF8A6">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第七十条</w:t>
      </w:r>
      <w:r>
        <w:rPr>
          <w:rFonts w:ascii="仿宋" w:hAnsi="仿宋" w:cs="仿宋"/>
          <w:snapToGrid/>
          <w:color w:val="auto"/>
          <w:szCs w:val="32"/>
          <w:shd w:val="clear" w:color="auto" w:fill="FFFFFF"/>
          <w:lang w:eastAsia="zh-CN" w:bidi="ar"/>
        </w:rPr>
        <w:t xml:space="preserve">  申请人或共同申请人弄虚作假、隐瞒户籍</w:t>
      </w:r>
      <w:r>
        <w:rPr>
          <w:rFonts w:hint="eastAsia" w:ascii="仿宋" w:hAnsi="仿宋" w:cs="仿宋"/>
          <w:snapToGrid/>
          <w:color w:val="auto"/>
          <w:szCs w:val="32"/>
          <w:shd w:val="clear" w:color="auto" w:fill="FFFFFF"/>
          <w:lang w:eastAsia="zh-CN" w:bidi="ar"/>
        </w:rPr>
        <w:t>、</w:t>
      </w:r>
      <w:r>
        <w:rPr>
          <w:rFonts w:ascii="仿宋" w:hAnsi="仿宋" w:cs="仿宋"/>
          <w:snapToGrid/>
          <w:color w:val="auto"/>
          <w:szCs w:val="32"/>
          <w:shd w:val="clear" w:color="auto" w:fill="FFFFFF"/>
          <w:lang w:eastAsia="zh-CN" w:bidi="ar"/>
        </w:rPr>
        <w:t>家庭人口、收入、资产及</w:t>
      </w:r>
      <w:r>
        <w:rPr>
          <w:rFonts w:hint="eastAsia" w:ascii="仿宋" w:hAnsi="仿宋" w:cs="仿宋"/>
          <w:snapToGrid/>
          <w:color w:val="auto"/>
          <w:szCs w:val="32"/>
          <w:shd w:val="clear" w:color="auto" w:fill="FFFFFF"/>
          <w:lang w:eastAsia="zh-CN" w:bidi="ar"/>
        </w:rPr>
        <w:t>不动产</w:t>
      </w:r>
      <w:r>
        <w:rPr>
          <w:rFonts w:ascii="仿宋" w:hAnsi="仿宋" w:cs="仿宋"/>
          <w:snapToGrid/>
          <w:color w:val="auto"/>
          <w:szCs w:val="32"/>
          <w:shd w:val="clear" w:color="auto" w:fill="FFFFFF"/>
          <w:lang w:eastAsia="zh-CN" w:bidi="ar"/>
        </w:rPr>
        <w:t>等情况或者伪造有关证明骗取公共租赁住房或租赁住房补贴的，经调查核实后，</w:t>
      </w:r>
      <w:r>
        <w:rPr>
          <w:rFonts w:hint="eastAsia" w:ascii="仿宋" w:hAnsi="仿宋" w:cs="仿宋"/>
          <w:snapToGrid/>
          <w:color w:val="auto"/>
          <w:szCs w:val="32"/>
          <w:shd w:val="clear" w:color="auto" w:fill="FFFFFF"/>
          <w:lang w:eastAsia="zh-CN" w:bidi="ar"/>
        </w:rPr>
        <w:t>由区住房保障主管部门驳回其申请，自驳回申请之日起10年内不予受理其住房保障申请，并将其不诚信行为在市保障房平台和市信用平台上公布。</w:t>
      </w:r>
    </w:p>
    <w:p w14:paraId="10485332">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已配租的，收回公共租赁住房，并按市场价格补缴</w:t>
      </w:r>
      <w:r>
        <w:rPr>
          <w:rFonts w:hint="eastAsia" w:ascii="仿宋" w:hAnsi="仿宋" w:cs="仿宋"/>
          <w:snapToGrid/>
          <w:color w:val="auto"/>
          <w:szCs w:val="32"/>
          <w:shd w:val="clear" w:color="auto" w:fill="FFFFFF"/>
          <w:lang w:eastAsia="zh-CN" w:bidi="ar"/>
        </w:rPr>
        <w:t>租金；已领取租赁住房补贴的，追回租赁住房补贴</w:t>
      </w:r>
      <w:r>
        <w:rPr>
          <w:rFonts w:ascii="仿宋" w:hAnsi="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拒不执行的，取消申请人、共同申请人及在保家庭保障性住房申请资格，并将其不诚信行为在市保障房平台和市信用平台上公布；造成损失的，依法承担赔偿责任；构成犯罪的，依法追究其刑事责任。</w:t>
      </w:r>
      <w:r>
        <w:rPr>
          <w:rFonts w:ascii="仿宋" w:hAnsi="仿宋" w:cs="仿宋"/>
          <w:snapToGrid/>
          <w:color w:val="auto"/>
          <w:szCs w:val="32"/>
          <w:shd w:val="clear" w:color="auto" w:fill="FFFFFF"/>
          <w:lang w:eastAsia="zh-CN" w:bidi="ar"/>
        </w:rPr>
        <w:t>对出具虚假证明的单位，由区住房保障主管部门提请</w:t>
      </w:r>
      <w:r>
        <w:rPr>
          <w:rFonts w:hint="eastAsia" w:ascii="仿宋" w:hAnsi="仿宋" w:cs="仿宋"/>
          <w:snapToGrid/>
          <w:color w:val="auto"/>
          <w:szCs w:val="32"/>
          <w:shd w:val="clear" w:color="auto" w:fill="FFFFFF"/>
          <w:lang w:eastAsia="zh-CN" w:bidi="ar"/>
        </w:rPr>
        <w:t>有关部门依法追究相关责任人的责任。</w:t>
      </w:r>
    </w:p>
    <w:p w14:paraId="0690C21F">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第七十一条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承租人无正当理由逾期拒不退回公共租赁住房的，区住房保障主管部门依法责令限期腾退；逾期仍不腾退的，公共租赁住房的产权单位或者运营管理单位可依法向人民法院申请强制清退，区住房保障主管部门应当提供必要的协调和支持，自责令腾退之日起10年内不受理其保障性住房申请。情节严重的，取消申请人、共同申请人及在保家庭的保障性住房申请资格，并将其违规行为在市保障房平台和市信用平台上公布。</w:t>
      </w:r>
    </w:p>
    <w:p w14:paraId="5103D756">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第七十二条 </w:t>
      </w:r>
      <w:r>
        <w:rPr>
          <w:rFonts w:ascii="仿宋" w:hAnsi="仿宋" w:cs="仿宋"/>
          <w:snapToGrid/>
          <w:color w:val="auto"/>
          <w:szCs w:val="32"/>
          <w:shd w:val="clear" w:color="auto" w:fill="FFFFFF"/>
          <w:lang w:eastAsia="zh-CN" w:bidi="ar"/>
        </w:rPr>
        <w:t xml:space="preserve"> 住房保障主管部门及其他相关部门、住房保障管理机构工作人员违反本办法规定，在公共租赁住房管理工作中玩忽职守、徇私舞弊、滥用职权的，依法给予处分；构成犯罪的，依法追究刑事责任。</w:t>
      </w:r>
    </w:p>
    <w:p w14:paraId="5BA16F65">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第七十三条 </w:t>
      </w:r>
      <w:r>
        <w:rPr>
          <w:rFonts w:ascii="仿宋" w:hAnsi="仿宋" w:cs="仿宋"/>
          <w:snapToGrid/>
          <w:color w:val="auto"/>
          <w:szCs w:val="32"/>
          <w:shd w:val="clear" w:color="auto" w:fill="FFFFFF"/>
          <w:lang w:eastAsia="zh-CN" w:bidi="ar"/>
        </w:rPr>
        <w:t xml:space="preserve"> 政府投资建设或筹集的公共租赁住房的产权单位和运营管理单位有下列行为之一的，由市</w:t>
      </w:r>
      <w:r>
        <w:rPr>
          <w:rFonts w:hint="eastAsia" w:ascii="仿宋" w:hAnsi="仿宋" w:cs="仿宋"/>
          <w:snapToGrid/>
          <w:color w:val="auto"/>
          <w:szCs w:val="32"/>
          <w:shd w:val="clear" w:color="auto" w:fill="FFFFFF"/>
          <w:lang w:eastAsia="zh-CN" w:bidi="ar"/>
        </w:rPr>
        <w:t>、</w:t>
      </w:r>
      <w:r>
        <w:rPr>
          <w:rFonts w:ascii="仿宋" w:hAnsi="仿宋" w:cs="仿宋"/>
          <w:snapToGrid/>
          <w:color w:val="auto"/>
          <w:szCs w:val="32"/>
          <w:shd w:val="clear" w:color="auto" w:fill="FFFFFF"/>
          <w:lang w:eastAsia="zh-CN" w:bidi="ar"/>
        </w:rPr>
        <w:t>区住房保障主管部门责令限期改正，并处以3万元以下罚款：</w:t>
      </w:r>
    </w:p>
    <w:p w14:paraId="721582BD">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（一）</w:t>
      </w:r>
      <w:r>
        <w:rPr>
          <w:rFonts w:ascii="仿宋" w:hAnsi="仿宋" w:cs="仿宋"/>
          <w:snapToGrid/>
          <w:color w:val="auto"/>
          <w:szCs w:val="32"/>
          <w:shd w:val="clear" w:color="auto" w:fill="FFFFFF"/>
          <w:lang w:eastAsia="zh-CN" w:bidi="ar"/>
        </w:rPr>
        <w:t>向不符合条件的对象出租公共租赁住房的；</w:t>
      </w:r>
    </w:p>
    <w:p w14:paraId="194D6407">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（二）</w:t>
      </w:r>
      <w:r>
        <w:rPr>
          <w:rFonts w:ascii="仿宋" w:hAnsi="仿宋" w:cs="仿宋"/>
          <w:snapToGrid/>
          <w:color w:val="auto"/>
          <w:szCs w:val="32"/>
          <w:shd w:val="clear" w:color="auto" w:fill="FFFFFF"/>
          <w:lang w:eastAsia="zh-CN" w:bidi="ar"/>
        </w:rPr>
        <w:t>未履行公共租赁住房及其配套设施维修养护义务的；</w:t>
      </w:r>
    </w:p>
    <w:p w14:paraId="6073E4AE">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（三）</w:t>
      </w:r>
      <w:r>
        <w:rPr>
          <w:rFonts w:ascii="仿宋" w:hAnsi="仿宋" w:cs="仿宋"/>
          <w:snapToGrid/>
          <w:color w:val="auto"/>
          <w:szCs w:val="32"/>
          <w:shd w:val="clear" w:color="auto" w:fill="FFFFFF"/>
          <w:lang w:eastAsia="zh-CN" w:bidi="ar"/>
        </w:rPr>
        <w:t>改变公共租赁住房的性质、用途以及配套设施的规划用途的。</w:t>
      </w:r>
    </w:p>
    <w:p w14:paraId="72A12044">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住房保障管理机构有前款规定行为的，按照本办法第七十二条规定处理。</w:t>
      </w:r>
    </w:p>
    <w:p w14:paraId="3F663CF6">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第七十四条 </w:t>
      </w:r>
      <w:r>
        <w:rPr>
          <w:rFonts w:ascii="仿宋" w:hAnsi="仿宋" w:cs="仿宋"/>
          <w:snapToGrid/>
          <w:color w:val="auto"/>
          <w:szCs w:val="32"/>
          <w:shd w:val="clear" w:color="auto" w:fill="FFFFFF"/>
          <w:lang w:eastAsia="zh-CN" w:bidi="ar"/>
        </w:rPr>
        <w:t xml:space="preserve"> 开发建设单位未按标准开发建设公共租赁住房项目的，由市、区住房保障主管部门责令限期改正，并处3万元以上10万元以下的罚款</w:t>
      </w:r>
      <w:r>
        <w:rPr>
          <w:rFonts w:hint="eastAsia" w:ascii="仿宋" w:hAnsi="仿宋" w:cs="仿宋"/>
          <w:snapToGrid/>
          <w:color w:val="auto"/>
          <w:szCs w:val="32"/>
          <w:shd w:val="clear" w:color="auto" w:fill="FFFFFF"/>
          <w:lang w:eastAsia="zh-CN" w:bidi="ar"/>
        </w:rPr>
        <w:t>，依法追究刑事责任</w:t>
      </w:r>
      <w:r>
        <w:rPr>
          <w:rFonts w:ascii="仿宋" w:hAnsi="仿宋" w:cs="仿宋"/>
          <w:snapToGrid/>
          <w:color w:val="auto"/>
          <w:szCs w:val="32"/>
          <w:shd w:val="clear" w:color="auto" w:fill="FFFFFF"/>
          <w:lang w:eastAsia="zh-CN" w:bidi="ar"/>
        </w:rPr>
        <w:t>。</w:t>
      </w:r>
    </w:p>
    <w:p w14:paraId="31B9DA61">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在普通商品住宅项目及城市更新项目中配套建设公共租赁住房的开发建设单位未按监管要求同步建设、同步交付公共租赁住房或擅自改变公共租赁住房位置、面积、户型和设计的，按照监管要求依法追究其违约责任。</w:t>
      </w:r>
    </w:p>
    <w:p w14:paraId="21737254">
      <w:pPr>
        <w:ind w:firstLine="643"/>
        <w:rPr>
          <w:rFonts w:ascii="仿宋" w:hAnsi="仿宋" w:cs="仿宋"/>
          <w:snapToGrid/>
          <w:color w:val="auto"/>
          <w:szCs w:val="32"/>
          <w:shd w:val="clear" w:color="auto" w:fill="FFFFFF"/>
          <w:lang w:eastAsia="zh-CN" w:bidi="ar"/>
        </w:rPr>
      </w:pPr>
      <w:r>
        <w:rPr>
          <w:rFonts w:hint="eastAsia" w:ascii="仿宋" w:hAnsi="仿宋" w:cs="仿宋"/>
          <w:b/>
          <w:snapToGrid/>
          <w:color w:val="auto"/>
          <w:szCs w:val="32"/>
          <w:shd w:val="clear" w:color="auto" w:fill="FFFFFF"/>
          <w:lang w:eastAsia="zh-CN" w:bidi="ar"/>
        </w:rPr>
        <w:t>第七十五条</w:t>
      </w:r>
      <w:r>
        <w:rPr>
          <w:rFonts w:hint="eastAsia" w:ascii="仿宋" w:hAnsi="仿宋" w:cs="仿宋"/>
          <w:snapToGrid/>
          <w:color w:val="auto"/>
          <w:szCs w:val="32"/>
          <w:shd w:val="clear" w:color="auto" w:fill="FFFFFF"/>
          <w:lang w:eastAsia="zh-CN" w:bidi="ar"/>
        </w:rPr>
        <w:t xml:space="preserve">  房地产经纪机构及其从业人员不得开展与公共租赁住房相关的出租、转租等经纪业务。发现上述行为，记入房地产经济信用档案，由市住房保障主管部门依法依规追究相关单位和人员责任。构成犯罪的，依法追究其刑事责任。</w:t>
      </w:r>
    </w:p>
    <w:p w14:paraId="5F569A4C">
      <w:pPr>
        <w:widowControl/>
        <w:kinsoku/>
        <w:autoSpaceDE/>
        <w:autoSpaceDN/>
        <w:adjustRightInd/>
        <w:snapToGrid/>
        <w:spacing w:line="240" w:lineRule="auto"/>
        <w:ind w:firstLine="0" w:firstLineChars="0"/>
        <w:jc w:val="left"/>
        <w:textAlignment w:val="auto"/>
        <w:rPr>
          <w:rFonts w:ascii="仿宋" w:hAnsi="仿宋" w:cs="仿宋"/>
          <w:spacing w:val="8"/>
          <w:szCs w:val="32"/>
          <w:lang w:eastAsia="zh-CN"/>
        </w:rPr>
      </w:pPr>
    </w:p>
    <w:p w14:paraId="48D6043F">
      <w:pPr>
        <w:pStyle w:val="20"/>
        <w:ind w:firstLine="0" w:firstLineChars="0"/>
        <w:jc w:val="center"/>
        <w:outlineLvl w:val="0"/>
        <w:rPr>
          <w:rFonts w:ascii="黑体" w:hAnsi="黑体" w:eastAsia="黑体" w:cs="黑体"/>
          <w:sz w:val="32"/>
          <w:szCs w:val="32"/>
          <w:shd w:val="clear" w:color="auto" w:fill="FFFFFF"/>
          <w:lang w:bidi="ar"/>
        </w:rPr>
      </w:pPr>
      <w:r>
        <w:rPr>
          <w:rFonts w:ascii="黑体" w:hAnsi="黑体" w:eastAsia="黑体" w:cs="黑体"/>
          <w:sz w:val="32"/>
          <w:szCs w:val="32"/>
          <w:shd w:val="clear" w:color="auto" w:fill="FFFFFF"/>
          <w:lang w:bidi="ar"/>
        </w:rPr>
        <w:t>第八章  附  则</w:t>
      </w:r>
    </w:p>
    <w:p w14:paraId="6598D8AD">
      <w:pPr>
        <w:ind w:firstLine="643"/>
        <w:rPr>
          <w:rFonts w:ascii="仿宋" w:hAnsi="仿宋" w:cs="仿宋"/>
          <w:b/>
          <w:bCs/>
          <w:snapToGrid/>
          <w:color w:val="auto"/>
          <w:szCs w:val="32"/>
          <w:highlight w:val="none"/>
          <w:u w:val="single"/>
          <w:shd w:val="clear" w:color="auto" w:fill="FFFFFF"/>
          <w:lang w:eastAsia="zh-CN" w:bidi="ar"/>
        </w:rPr>
      </w:pPr>
      <w:r>
        <w:rPr>
          <w:rFonts w:ascii="仿宋" w:hAnsi="仿宋" w:cs="仿宋"/>
          <w:b/>
          <w:snapToGrid/>
          <w:color w:val="auto"/>
          <w:szCs w:val="32"/>
          <w:highlight w:val="none"/>
          <w:shd w:val="clear" w:color="auto" w:fill="FFFFFF"/>
          <w:lang w:eastAsia="zh-CN" w:bidi="ar"/>
        </w:rPr>
        <w:t xml:space="preserve">第七十六条  </w:t>
      </w:r>
      <w:r>
        <w:rPr>
          <w:rFonts w:ascii="仿宋" w:hAnsi="仿宋" w:cs="仿宋"/>
          <w:bCs/>
          <w:snapToGrid/>
          <w:color w:val="auto"/>
          <w:szCs w:val="32"/>
          <w:highlight w:val="none"/>
          <w:shd w:val="clear" w:color="auto" w:fill="FFFFFF"/>
          <w:lang w:eastAsia="zh-CN" w:bidi="ar"/>
        </w:rPr>
        <w:t>区人民政府</w:t>
      </w:r>
      <w:r>
        <w:rPr>
          <w:rFonts w:hint="eastAsia" w:ascii="仿宋" w:hAnsi="仿宋" w:cs="仿宋"/>
          <w:bCs/>
          <w:snapToGrid/>
          <w:color w:val="auto"/>
          <w:szCs w:val="32"/>
          <w:highlight w:val="none"/>
          <w:shd w:val="clear" w:color="auto" w:fill="FFFFFF"/>
          <w:lang w:eastAsia="zh-CN" w:bidi="ar"/>
        </w:rPr>
        <w:t>可根据本办法，结合属地实际，制定相关实施细则。</w:t>
      </w:r>
      <w:r>
        <w:rPr>
          <w:rFonts w:ascii="仿宋" w:hAnsi="仿宋" w:cs="仿宋"/>
          <w:bCs/>
          <w:snapToGrid/>
          <w:color w:val="auto"/>
          <w:szCs w:val="32"/>
          <w:highlight w:val="none"/>
          <w:shd w:val="clear" w:color="auto" w:fill="FFFFFF"/>
          <w:lang w:eastAsia="zh-CN" w:bidi="ar"/>
        </w:rPr>
        <w:t>区人民政府可在满足本办法规定的基本保障对象需求的基础上，</w:t>
      </w:r>
      <w:r>
        <w:rPr>
          <w:rFonts w:hint="eastAsia" w:ascii="仿宋" w:hAnsi="仿宋" w:cs="仿宋"/>
          <w:bCs/>
          <w:snapToGrid/>
          <w:color w:val="auto"/>
          <w:szCs w:val="32"/>
          <w:highlight w:val="none"/>
          <w:shd w:val="clear" w:color="auto" w:fill="FFFFFF"/>
          <w:lang w:eastAsia="zh-CN" w:bidi="ar"/>
        </w:rPr>
        <w:t>调整</w:t>
      </w:r>
      <w:r>
        <w:rPr>
          <w:rFonts w:ascii="仿宋" w:hAnsi="仿宋" w:cs="仿宋"/>
          <w:bCs/>
          <w:snapToGrid/>
          <w:color w:val="auto"/>
          <w:szCs w:val="32"/>
          <w:highlight w:val="none"/>
          <w:shd w:val="clear" w:color="auto" w:fill="FFFFFF"/>
          <w:lang w:eastAsia="zh-CN" w:bidi="ar"/>
        </w:rPr>
        <w:t>公共租赁住房保障范围。</w:t>
      </w:r>
    </w:p>
    <w:p w14:paraId="0735D71C">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市住房保障主管部门可根据实际情况，适时调整公共租赁住房保障对象和申请条件，报市人民政府批准后公布执行。</w:t>
      </w:r>
    </w:p>
    <w:p w14:paraId="0AAC4C21">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第七十七条</w:t>
      </w:r>
      <w:r>
        <w:rPr>
          <w:rFonts w:hint="eastAsia" w:ascii="仿宋" w:hAnsi="仿宋" w:cs="仿宋"/>
          <w:b/>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区住房保障主管部门负责制定具体项目的配租方案并报市住房保障主管部门备案。配租方案可根据项目的实际情况适度调整配租对象范围、租金水平等。</w:t>
      </w:r>
    </w:p>
    <w:p w14:paraId="7379EDA2">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w:t>
      </w:r>
      <w:r>
        <w:rPr>
          <w:rFonts w:hint="eastAsia" w:ascii="仿宋" w:hAnsi="仿宋" w:cs="仿宋"/>
          <w:b/>
          <w:snapToGrid/>
          <w:color w:val="auto"/>
          <w:szCs w:val="32"/>
          <w:shd w:val="clear" w:color="auto" w:fill="FFFFFF"/>
          <w:lang w:eastAsia="zh-CN" w:bidi="ar"/>
        </w:rPr>
        <w:t>七十八</w:t>
      </w:r>
      <w:r>
        <w:rPr>
          <w:rFonts w:ascii="仿宋" w:hAnsi="仿宋" w:cs="仿宋"/>
          <w:b/>
          <w:snapToGrid/>
          <w:color w:val="auto"/>
          <w:szCs w:val="32"/>
          <w:shd w:val="clear" w:color="auto" w:fill="FFFFFF"/>
          <w:lang w:eastAsia="zh-CN" w:bidi="ar"/>
        </w:rPr>
        <w:t xml:space="preserve">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富余闲置的公共租赁住房可以用作保障性租赁住房。用作保障性租赁住房的，租金按照不超过该项目所在地同区域、同地段、同品质普通商品住宅平均租金的90%确定。</w:t>
      </w:r>
    </w:p>
    <w:p w14:paraId="2DBB4C1D">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公共租赁住房房源超过6个月仍未配租的，运营单位可以向区住房保障主管部门申请转用为保障性租赁住房，区住房保障主管部门在10个工作日内予以审核批复。</w:t>
      </w:r>
    </w:p>
    <w:p w14:paraId="345DEB86">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第七十九条 </w:t>
      </w:r>
      <w:r>
        <w:rPr>
          <w:rFonts w:ascii="仿宋" w:hAnsi="仿宋" w:cs="仿宋"/>
          <w:snapToGrid/>
          <w:color w:val="auto"/>
          <w:szCs w:val="32"/>
          <w:shd w:val="clear" w:color="auto" w:fill="FFFFFF"/>
          <w:lang w:eastAsia="zh-CN" w:bidi="ar"/>
        </w:rPr>
        <w:t xml:space="preserve"> 具有本市户籍的公共租赁住房承租人及家庭成员可将</w:t>
      </w:r>
      <w:r>
        <w:rPr>
          <w:rFonts w:hint="eastAsia" w:ascii="仿宋" w:hAnsi="仿宋" w:cs="仿宋"/>
          <w:snapToGrid/>
          <w:color w:val="auto"/>
          <w:szCs w:val="32"/>
          <w:shd w:val="clear" w:color="auto" w:fill="FFFFFF"/>
          <w:lang w:eastAsia="zh-CN" w:bidi="ar"/>
        </w:rPr>
        <w:t>户籍</w:t>
      </w:r>
      <w:r>
        <w:rPr>
          <w:rFonts w:ascii="仿宋" w:hAnsi="仿宋" w:cs="仿宋"/>
          <w:snapToGrid/>
          <w:color w:val="auto"/>
          <w:szCs w:val="32"/>
          <w:shd w:val="clear" w:color="auto" w:fill="FFFFFF"/>
          <w:lang w:eastAsia="zh-CN" w:bidi="ar"/>
        </w:rPr>
        <w:t>迁入公共租赁住房所在辖区居委会集体</w:t>
      </w:r>
      <w:r>
        <w:rPr>
          <w:rFonts w:hint="eastAsia" w:ascii="仿宋" w:hAnsi="仿宋" w:cs="仿宋"/>
          <w:snapToGrid/>
          <w:color w:val="auto"/>
          <w:szCs w:val="32"/>
          <w:shd w:val="clear" w:color="auto" w:fill="FFFFFF"/>
          <w:lang w:eastAsia="zh-CN" w:bidi="ar"/>
        </w:rPr>
        <w:t>户籍</w:t>
      </w:r>
      <w:r>
        <w:rPr>
          <w:rFonts w:ascii="仿宋" w:hAnsi="仿宋" w:cs="仿宋"/>
          <w:snapToGrid/>
          <w:color w:val="auto"/>
          <w:szCs w:val="32"/>
          <w:shd w:val="clear" w:color="auto" w:fill="FFFFFF"/>
          <w:lang w:eastAsia="zh-CN" w:bidi="ar"/>
        </w:rPr>
        <w:t>，但不得迁入公共租赁住房内。</w:t>
      </w:r>
    </w:p>
    <w:p w14:paraId="0C22DF5A">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承租人确需开具住房租赁关系证明的，可由公共租赁住房出租方出具证明。</w:t>
      </w:r>
    </w:p>
    <w:p w14:paraId="7F22F9B3">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租住公共租赁住房的在保对象，其子女按照相关政策就读。</w:t>
      </w:r>
    </w:p>
    <w:p w14:paraId="14A709F6">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 xml:space="preserve">第八十条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已享受租赁型人才住房、配售型保障性住房、配售型人才住房、共有产权住房、经济适用房以及按原房改政策出售的公有住房等政策性住房的申请人及共同申请人，不得申请公共租赁住房。</w:t>
      </w:r>
    </w:p>
    <w:p w14:paraId="09456F59">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符合公共租赁住房的申请条件但已承租保障性租赁住房的申请人及共同申请人，可在承租期间提交公共租赁住房申请材料，审核通过并成功选房的，须在公共租赁住房租赁合同签订之日起一个月内退出已承租的保障性租赁住房（承租市场主体对外运营的</w:t>
      </w:r>
      <w:r>
        <w:rPr>
          <w:rFonts w:ascii="仿宋" w:hAnsi="仿宋" w:cs="仿宋"/>
          <w:snapToGrid/>
          <w:color w:val="auto"/>
          <w:szCs w:val="32"/>
          <w:shd w:val="clear" w:color="auto" w:fill="FFFFFF"/>
          <w:lang w:eastAsia="zh-CN" w:bidi="ar"/>
        </w:rPr>
        <w:t>保障性租赁住房</w:t>
      </w:r>
      <w:r>
        <w:rPr>
          <w:rFonts w:hint="eastAsia" w:ascii="仿宋" w:hAnsi="仿宋" w:cs="仿宋"/>
          <w:snapToGrid/>
          <w:color w:val="auto"/>
          <w:szCs w:val="32"/>
          <w:shd w:val="clear" w:color="auto" w:fill="FFFFFF"/>
          <w:lang w:eastAsia="zh-CN" w:bidi="ar"/>
        </w:rPr>
        <w:t>除外）。</w:t>
      </w:r>
    </w:p>
    <w:p w14:paraId="1486B5E3">
      <w:pPr>
        <w:ind w:firstLine="643"/>
        <w:rPr>
          <w:rFonts w:ascii="仿宋" w:hAnsi="仿宋" w:cs="仿宋"/>
          <w:snapToGrid/>
          <w:color w:val="auto"/>
          <w:szCs w:val="32"/>
          <w:highlight w:val="green"/>
          <w:shd w:val="clear" w:color="auto" w:fill="FFFFFF"/>
          <w:lang w:eastAsia="zh-CN" w:bidi="ar"/>
        </w:rPr>
      </w:pPr>
      <w:r>
        <w:rPr>
          <w:rFonts w:ascii="仿宋" w:hAnsi="仿宋" w:cs="仿宋"/>
          <w:b/>
          <w:snapToGrid/>
          <w:color w:val="auto"/>
          <w:szCs w:val="32"/>
          <w:shd w:val="clear" w:color="auto" w:fill="FFFFFF"/>
          <w:lang w:eastAsia="zh-CN" w:bidi="ar"/>
        </w:rPr>
        <w:t>第</w:t>
      </w:r>
      <w:r>
        <w:rPr>
          <w:rFonts w:hint="eastAsia" w:ascii="仿宋" w:hAnsi="仿宋" w:cs="仿宋"/>
          <w:b/>
          <w:snapToGrid/>
          <w:color w:val="auto"/>
          <w:szCs w:val="32"/>
          <w:shd w:val="clear" w:color="auto" w:fill="FFFFFF"/>
          <w:lang w:eastAsia="zh-CN" w:bidi="ar"/>
        </w:rPr>
        <w:t>八十一</w:t>
      </w:r>
      <w:r>
        <w:rPr>
          <w:rFonts w:ascii="仿宋" w:hAnsi="仿宋" w:cs="仿宋"/>
          <w:b/>
          <w:snapToGrid/>
          <w:color w:val="auto"/>
          <w:szCs w:val="32"/>
          <w:shd w:val="clear" w:color="auto" w:fill="FFFFFF"/>
          <w:lang w:eastAsia="zh-CN" w:bidi="ar"/>
        </w:rPr>
        <w:t xml:space="preserve">条 </w:t>
      </w:r>
      <w:r>
        <w:rPr>
          <w:rFonts w:ascii="仿宋" w:hAnsi="仿宋" w:cs="仿宋"/>
          <w:snapToGrid/>
          <w:color w:val="auto"/>
          <w:szCs w:val="32"/>
          <w:shd w:val="clear" w:color="auto" w:fill="FFFFFF"/>
          <w:lang w:eastAsia="zh-CN" w:bidi="ar"/>
        </w:rPr>
        <w:t xml:space="preserve"> </w:t>
      </w:r>
      <w:r>
        <w:rPr>
          <w:rFonts w:hint="eastAsia" w:ascii="仿宋" w:hAnsi="仿宋" w:cs="仿宋"/>
          <w:snapToGrid/>
          <w:color w:val="auto"/>
          <w:szCs w:val="32"/>
          <w:shd w:val="clear" w:color="auto" w:fill="FFFFFF"/>
          <w:lang w:eastAsia="zh-CN" w:bidi="ar"/>
        </w:rPr>
        <w:t>本办法施行后，原租赁合同在有效期内的，按原租赁合同继续执行；租赁合同期满后需向区住房保障主管部门申请资格复核，符合本办法或区制定的实施细则规定的，可在取得公共租赁住房保障资格后重新签订租赁合同，继续承租该房屋。不符合本办法或区制定的实施细则规定，但符合原政策规定保障类别的，可继续按原政策相关规定承租至自愿退出为止。</w:t>
      </w:r>
    </w:p>
    <w:p w14:paraId="06387725">
      <w:pPr>
        <w:ind w:firstLine="640"/>
        <w:rPr>
          <w:rFonts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本办法施行后，轮候库内申请人按原政策继续轮候，新增申请须按本办法或区制定的实施细则规定申请条件执行。</w:t>
      </w:r>
    </w:p>
    <w:p w14:paraId="5B1AD073">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第八十</w:t>
      </w:r>
      <w:r>
        <w:rPr>
          <w:rFonts w:hint="eastAsia" w:ascii="仿宋" w:hAnsi="仿宋" w:cs="仿宋"/>
          <w:b/>
          <w:snapToGrid/>
          <w:color w:val="auto"/>
          <w:szCs w:val="32"/>
          <w:shd w:val="clear" w:color="auto" w:fill="FFFFFF"/>
          <w:lang w:eastAsia="zh-CN" w:bidi="ar"/>
        </w:rPr>
        <w:t>二</w:t>
      </w:r>
      <w:r>
        <w:rPr>
          <w:rFonts w:ascii="仿宋" w:hAnsi="仿宋" w:cs="仿宋"/>
          <w:b/>
          <w:snapToGrid/>
          <w:color w:val="auto"/>
          <w:szCs w:val="32"/>
          <w:shd w:val="clear" w:color="auto" w:fill="FFFFFF"/>
          <w:lang w:eastAsia="zh-CN" w:bidi="ar"/>
        </w:rPr>
        <w:t xml:space="preserve">条  </w:t>
      </w:r>
      <w:r>
        <w:rPr>
          <w:rFonts w:ascii="仿宋" w:hAnsi="仿宋" w:cs="仿宋"/>
          <w:snapToGrid/>
          <w:color w:val="auto"/>
          <w:szCs w:val="32"/>
          <w:shd w:val="clear" w:color="auto" w:fill="FFFFFF"/>
          <w:lang w:eastAsia="zh-CN" w:bidi="ar"/>
        </w:rPr>
        <w:t>本办法所称区，是指香洲区、金湾区、斗门区和各经济功能区。</w:t>
      </w:r>
    </w:p>
    <w:p w14:paraId="19D90C70">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本办法所称区人民政府，</w:t>
      </w:r>
      <w:r>
        <w:rPr>
          <w:rFonts w:hint="eastAsia" w:ascii="仿宋" w:hAnsi="仿宋" w:cs="仿宋"/>
          <w:snapToGrid/>
          <w:color w:val="auto"/>
          <w:szCs w:val="32"/>
          <w:shd w:val="clear" w:color="auto" w:fill="FFFFFF"/>
          <w:lang w:eastAsia="zh-CN" w:bidi="ar"/>
        </w:rPr>
        <w:t>是指</w:t>
      </w:r>
      <w:r>
        <w:rPr>
          <w:rFonts w:ascii="仿宋" w:hAnsi="仿宋" w:cs="仿宋"/>
          <w:snapToGrid/>
          <w:color w:val="auto"/>
          <w:szCs w:val="32"/>
          <w:shd w:val="clear" w:color="auto" w:fill="FFFFFF"/>
          <w:lang w:eastAsia="zh-CN" w:bidi="ar"/>
        </w:rPr>
        <w:t>香洲区人民政府、金湾区人民政府、斗门区人民政府和各经济功能区管委会。</w:t>
      </w:r>
    </w:p>
    <w:p w14:paraId="17D7F6FF">
      <w:pPr>
        <w:ind w:firstLine="640"/>
        <w:rPr>
          <w:rFonts w:ascii="仿宋" w:hAnsi="仿宋" w:cs="仿宋"/>
          <w:snapToGrid/>
          <w:color w:val="auto"/>
          <w:szCs w:val="32"/>
          <w:shd w:val="clear" w:color="auto" w:fill="FFFFFF"/>
          <w:lang w:eastAsia="zh-CN" w:bidi="ar"/>
        </w:rPr>
      </w:pPr>
      <w:r>
        <w:rPr>
          <w:rFonts w:ascii="仿宋" w:hAnsi="仿宋" w:cs="仿宋"/>
          <w:snapToGrid/>
          <w:color w:val="auto"/>
          <w:szCs w:val="32"/>
          <w:shd w:val="clear" w:color="auto" w:fill="FFFFFF"/>
          <w:lang w:eastAsia="zh-CN" w:bidi="ar"/>
        </w:rPr>
        <w:t>本办法所称</w:t>
      </w:r>
      <w:r>
        <w:rPr>
          <w:rFonts w:hint="eastAsia" w:ascii="仿宋" w:hAnsi="仿宋" w:cs="仿宋"/>
          <w:snapToGrid/>
          <w:color w:val="auto"/>
          <w:szCs w:val="32"/>
          <w:shd w:val="clear" w:color="auto" w:fill="FFFFFF"/>
          <w:lang w:eastAsia="zh-CN" w:bidi="ar"/>
        </w:rPr>
        <w:t>住房保障，是指公共租赁住房（含租赁住房补贴）、保障性租赁住房、租赁型人才住房、配售型保障性住房、配售型人才住房、共有产权住房、经济适用房以及按原房改政策出售的公有住房等政策性住房。</w:t>
      </w:r>
    </w:p>
    <w:p w14:paraId="4AD7FBD6">
      <w:pPr>
        <w:ind w:firstLine="640"/>
        <w:rPr>
          <w:rFonts w:hint="eastAsia" w:ascii="仿宋" w:hAnsi="仿宋" w:cs="仿宋"/>
          <w:snapToGrid/>
          <w:color w:val="auto"/>
          <w:szCs w:val="32"/>
          <w:shd w:val="clear" w:color="auto" w:fill="FFFFFF"/>
          <w:lang w:eastAsia="zh-CN" w:bidi="ar"/>
        </w:rPr>
      </w:pPr>
      <w:r>
        <w:rPr>
          <w:rFonts w:hint="eastAsia" w:ascii="仿宋" w:hAnsi="仿宋" w:cs="仿宋"/>
          <w:snapToGrid/>
          <w:color w:val="auto"/>
          <w:szCs w:val="32"/>
          <w:shd w:val="clear" w:color="auto" w:fill="FFFFFF"/>
          <w:lang w:eastAsia="zh-CN" w:bidi="ar"/>
        </w:rPr>
        <w:t>本办法所称原政策，是指《珠海市公共租赁住房管理办法》（珠海市人民政府令第9</w:t>
      </w:r>
      <w:r>
        <w:rPr>
          <w:rFonts w:ascii="仿宋" w:hAnsi="仿宋" w:cs="仿宋"/>
          <w:snapToGrid/>
          <w:color w:val="auto"/>
          <w:szCs w:val="32"/>
          <w:shd w:val="clear" w:color="auto" w:fill="FFFFFF"/>
          <w:lang w:eastAsia="zh-CN" w:bidi="ar"/>
        </w:rPr>
        <w:t>4号</w:t>
      </w:r>
      <w:r>
        <w:rPr>
          <w:rFonts w:hint="eastAsia" w:ascii="仿宋" w:hAnsi="仿宋" w:cs="仿宋"/>
          <w:snapToGrid/>
          <w:color w:val="auto"/>
          <w:szCs w:val="32"/>
          <w:shd w:val="clear" w:color="auto" w:fill="FFFFFF"/>
          <w:lang w:eastAsia="zh-CN" w:bidi="ar"/>
        </w:rPr>
        <w:t>）和《珠海市住房和城乡建设局关于印发</w:t>
      </w:r>
      <w:r>
        <w:rPr>
          <w:rFonts w:hint="eastAsia" w:ascii="仿宋" w:hAnsi="仿宋" w:eastAsia="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珠海市公共租赁住房管理办法实施细则</w:t>
      </w:r>
      <w:r>
        <w:rPr>
          <w:rFonts w:hint="eastAsia" w:ascii="仿宋" w:hAnsi="仿宋" w:eastAsia="仿宋" w:cs="仿宋"/>
          <w:snapToGrid/>
          <w:color w:val="auto"/>
          <w:szCs w:val="32"/>
          <w:shd w:val="clear" w:color="auto" w:fill="FFFFFF"/>
          <w:lang w:eastAsia="zh-CN" w:bidi="ar"/>
        </w:rPr>
        <w:t>〉</w:t>
      </w:r>
      <w:r>
        <w:rPr>
          <w:rFonts w:hint="eastAsia" w:ascii="仿宋" w:hAnsi="仿宋" w:cs="仿宋"/>
          <w:snapToGrid/>
          <w:color w:val="auto"/>
          <w:szCs w:val="32"/>
          <w:shd w:val="clear" w:color="auto" w:fill="FFFFFF"/>
          <w:lang w:eastAsia="zh-CN" w:bidi="ar"/>
        </w:rPr>
        <w:t>的通知》（珠建〔2024〕9号）。</w:t>
      </w:r>
    </w:p>
    <w:p w14:paraId="14386BF5">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第八十</w:t>
      </w:r>
      <w:r>
        <w:rPr>
          <w:rFonts w:hint="eastAsia" w:ascii="仿宋" w:hAnsi="仿宋" w:cs="仿宋"/>
          <w:b/>
          <w:snapToGrid/>
          <w:color w:val="auto"/>
          <w:szCs w:val="32"/>
          <w:shd w:val="clear" w:color="auto" w:fill="FFFFFF"/>
          <w:lang w:eastAsia="zh-CN" w:bidi="ar"/>
        </w:rPr>
        <w:t>三</w:t>
      </w:r>
      <w:r>
        <w:rPr>
          <w:rFonts w:ascii="仿宋" w:hAnsi="仿宋" w:cs="仿宋"/>
          <w:b/>
          <w:snapToGrid/>
          <w:color w:val="auto"/>
          <w:szCs w:val="32"/>
          <w:shd w:val="clear" w:color="auto" w:fill="FFFFFF"/>
          <w:lang w:eastAsia="zh-CN" w:bidi="ar"/>
        </w:rPr>
        <w:t>条</w:t>
      </w:r>
      <w:r>
        <w:rPr>
          <w:rFonts w:hint="eastAsia" w:ascii="仿宋" w:hAnsi="仿宋" w:cs="仿宋"/>
          <w:b/>
          <w:snapToGrid/>
          <w:color w:val="auto"/>
          <w:szCs w:val="32"/>
          <w:shd w:val="clear" w:color="auto" w:fill="FFFFFF"/>
          <w:lang w:eastAsia="zh-CN" w:bidi="ar"/>
        </w:rPr>
        <w:t xml:space="preserve"> </w:t>
      </w:r>
      <w:r>
        <w:rPr>
          <w:rFonts w:ascii="仿宋" w:hAnsi="仿宋" w:cs="仿宋"/>
          <w:b/>
          <w:snapToGrid/>
          <w:color w:val="auto"/>
          <w:szCs w:val="32"/>
          <w:shd w:val="clear" w:color="auto" w:fill="FFFFFF"/>
          <w:lang w:eastAsia="zh-CN" w:bidi="ar"/>
        </w:rPr>
        <w:t xml:space="preserve"> </w:t>
      </w:r>
      <w:r>
        <w:rPr>
          <w:rFonts w:ascii="Helvetica" w:hAnsi="Helvetica" w:cs="Helvetica"/>
          <w:lang w:eastAsia="zh-CN"/>
        </w:rPr>
        <w:t>本办法由市住房城乡建设局负责解释。</w:t>
      </w:r>
    </w:p>
    <w:p w14:paraId="39E3618C">
      <w:pPr>
        <w:ind w:firstLine="643"/>
        <w:rPr>
          <w:rFonts w:ascii="仿宋" w:hAnsi="仿宋" w:cs="仿宋"/>
          <w:snapToGrid/>
          <w:color w:val="auto"/>
          <w:szCs w:val="32"/>
          <w:shd w:val="clear" w:color="auto" w:fill="FFFFFF"/>
          <w:lang w:eastAsia="zh-CN" w:bidi="ar"/>
        </w:rPr>
      </w:pPr>
      <w:r>
        <w:rPr>
          <w:rFonts w:ascii="仿宋" w:hAnsi="仿宋" w:cs="仿宋"/>
          <w:b/>
          <w:snapToGrid/>
          <w:color w:val="auto"/>
          <w:szCs w:val="32"/>
          <w:shd w:val="clear" w:color="auto" w:fill="FFFFFF"/>
          <w:lang w:eastAsia="zh-CN" w:bidi="ar"/>
        </w:rPr>
        <w:t>第八十</w:t>
      </w:r>
      <w:r>
        <w:rPr>
          <w:rFonts w:hint="eastAsia" w:ascii="仿宋" w:hAnsi="仿宋" w:cs="仿宋"/>
          <w:b/>
          <w:snapToGrid/>
          <w:color w:val="auto"/>
          <w:szCs w:val="32"/>
          <w:shd w:val="clear" w:color="auto" w:fill="FFFFFF"/>
          <w:lang w:eastAsia="zh-CN" w:bidi="ar"/>
        </w:rPr>
        <w:t>四</w:t>
      </w:r>
      <w:r>
        <w:rPr>
          <w:rFonts w:ascii="仿宋" w:hAnsi="仿宋" w:cs="仿宋"/>
          <w:b/>
          <w:snapToGrid/>
          <w:color w:val="auto"/>
          <w:szCs w:val="32"/>
          <w:shd w:val="clear" w:color="auto" w:fill="FFFFFF"/>
          <w:lang w:eastAsia="zh-CN" w:bidi="ar"/>
        </w:rPr>
        <w:t xml:space="preserve">条 </w:t>
      </w:r>
      <w:r>
        <w:rPr>
          <w:rFonts w:ascii="仿宋" w:hAnsi="仿宋" w:cs="仿宋"/>
          <w:snapToGrid/>
          <w:color w:val="auto"/>
          <w:szCs w:val="32"/>
          <w:shd w:val="clear" w:color="auto" w:fill="FFFFFF"/>
          <w:lang w:eastAsia="zh-CN" w:bidi="ar"/>
        </w:rPr>
        <w:t xml:space="preserve"> 本办法自2026年X月XX日起施行</w:t>
      </w:r>
      <w:r>
        <w:rPr>
          <w:rFonts w:hint="eastAsia" w:ascii="仿宋" w:hAnsi="仿宋" w:cs="仿宋"/>
          <w:snapToGrid/>
          <w:color w:val="auto"/>
          <w:szCs w:val="32"/>
          <w:shd w:val="clear" w:color="auto" w:fill="FFFFFF"/>
          <w:lang w:eastAsia="zh-CN" w:bidi="ar"/>
        </w:rPr>
        <w:t>。原《珠海市公共租赁住房管理办法》（珠海市人民政府令第9</w:t>
      </w:r>
      <w:r>
        <w:rPr>
          <w:rFonts w:ascii="仿宋" w:hAnsi="仿宋" w:cs="仿宋"/>
          <w:snapToGrid/>
          <w:color w:val="auto"/>
          <w:szCs w:val="32"/>
          <w:shd w:val="clear" w:color="auto" w:fill="FFFFFF"/>
          <w:lang w:eastAsia="zh-CN" w:bidi="ar"/>
        </w:rPr>
        <w:t>4号</w:t>
      </w:r>
      <w:r>
        <w:rPr>
          <w:rFonts w:hint="eastAsia" w:ascii="仿宋" w:hAnsi="仿宋" w:cs="仿宋"/>
          <w:snapToGrid/>
          <w:color w:val="auto"/>
          <w:szCs w:val="32"/>
          <w:shd w:val="clear" w:color="auto" w:fill="FFFFFF"/>
          <w:lang w:eastAsia="zh-CN" w:bidi="ar"/>
        </w:rPr>
        <w:t>）同时废止。</w:t>
      </w:r>
    </w:p>
    <w:p w14:paraId="17AE7A75">
      <w:pPr>
        <w:widowControl/>
        <w:kinsoku/>
        <w:autoSpaceDE/>
        <w:autoSpaceDN/>
        <w:adjustRightInd/>
        <w:snapToGrid/>
        <w:ind w:firstLine="0" w:firstLineChars="0"/>
        <w:jc w:val="left"/>
        <w:textAlignment w:val="auto"/>
        <w:rPr>
          <w:rFonts w:ascii="仿宋" w:hAnsi="仿宋" w:cs="仿宋"/>
          <w:snapToGrid/>
          <w:color w:val="auto"/>
          <w:szCs w:val="32"/>
          <w:shd w:val="clear" w:color="auto" w:fill="FFFFFF"/>
          <w:lang w:eastAsia="zh-CN" w:bidi="ar"/>
        </w:rPr>
      </w:pPr>
    </w:p>
    <w:p w14:paraId="38CCC6B1">
      <w:pPr>
        <w:pStyle w:val="2"/>
        <w:spacing w:line="579" w:lineRule="exact"/>
        <w:rPr>
          <w:rFonts w:ascii="仿宋" w:hAnsi="仿宋" w:cs="仿宋"/>
          <w:b/>
          <w:szCs w:val="32"/>
          <w:shd w:val="clear" w:color="auto" w:fill="FFFFFF"/>
          <w:lang w:bidi="ar"/>
        </w:rPr>
        <w:sectPr>
          <w:headerReference r:id="rId7" w:type="first"/>
          <w:footerReference r:id="rId10" w:type="first"/>
          <w:headerReference r:id="rId5" w:type="default"/>
          <w:footerReference r:id="rId8" w:type="default"/>
          <w:headerReference r:id="rId6" w:type="even"/>
          <w:footerReference r:id="rId9" w:type="even"/>
          <w:pgSz w:w="11830" w:h="16700"/>
          <w:pgMar w:top="2098" w:right="1531" w:bottom="1984" w:left="1531" w:header="0" w:footer="0" w:gutter="0"/>
          <w:cols w:space="720" w:num="1"/>
          <w:docGrid w:linePitch="435" w:charSpace="0"/>
        </w:sectPr>
      </w:pPr>
    </w:p>
    <w:tbl>
      <w:tblPr>
        <w:tblStyle w:val="9"/>
        <w:tblW w:w="5000" w:type="pct"/>
        <w:tblInd w:w="0" w:type="dxa"/>
        <w:tblLayout w:type="autofit"/>
        <w:tblCellMar>
          <w:top w:w="0" w:type="dxa"/>
          <w:left w:w="108" w:type="dxa"/>
          <w:bottom w:w="0" w:type="dxa"/>
          <w:right w:w="108" w:type="dxa"/>
        </w:tblCellMar>
      </w:tblPr>
      <w:tblGrid>
        <w:gridCol w:w="1152"/>
        <w:gridCol w:w="1151"/>
        <w:gridCol w:w="2307"/>
        <w:gridCol w:w="4321"/>
        <w:gridCol w:w="1156"/>
        <w:gridCol w:w="1207"/>
        <w:gridCol w:w="2242"/>
      </w:tblGrid>
      <w:tr w14:paraId="1075DC87">
        <w:trPr>
          <w:trHeight w:val="426" w:hRule="atLeast"/>
        </w:trPr>
        <w:tc>
          <w:tcPr>
            <w:tcW w:w="5000" w:type="pct"/>
            <w:gridSpan w:val="7"/>
            <w:tcBorders>
              <w:top w:val="nil"/>
              <w:left w:val="nil"/>
              <w:bottom w:val="nil"/>
              <w:right w:val="nil"/>
            </w:tcBorders>
            <w:vAlign w:val="center"/>
          </w:tcPr>
          <w:p w14:paraId="70D21B54">
            <w:pPr>
              <w:widowControl/>
              <w:kinsoku/>
              <w:autoSpaceDE/>
              <w:autoSpaceDN/>
              <w:adjustRightInd/>
              <w:snapToGrid/>
              <w:spacing w:line="240" w:lineRule="auto"/>
              <w:ind w:firstLine="0" w:firstLineChars="0"/>
              <w:jc w:val="center"/>
              <w:textAlignment w:val="auto"/>
              <w:rPr>
                <w:rFonts w:ascii="仿宋" w:hAnsi="仿宋" w:cs="宋体"/>
                <w:b/>
                <w:bCs/>
                <w:snapToGrid/>
                <w:sz w:val="16"/>
                <w:szCs w:val="36"/>
                <w:lang w:eastAsia="zh-CN"/>
              </w:rPr>
            </w:pPr>
            <w:r>
              <w:rPr>
                <w:rFonts w:hint="eastAsia" w:ascii="仿宋" w:hAnsi="仿宋" w:cs="宋体"/>
                <w:b/>
                <w:bCs/>
                <w:snapToGrid/>
                <w:sz w:val="20"/>
                <w:szCs w:val="36"/>
                <w:lang w:eastAsia="zh-CN"/>
              </w:rPr>
              <w:t>附表.家庭分类及收入豁免、补贴系数表</w:t>
            </w:r>
          </w:p>
        </w:tc>
      </w:tr>
      <w:tr w14:paraId="31D71A9C">
        <w:tblPrEx>
          <w:tblCellMar>
            <w:top w:w="0" w:type="dxa"/>
            <w:left w:w="108" w:type="dxa"/>
            <w:bottom w:w="0" w:type="dxa"/>
            <w:right w:w="108" w:type="dxa"/>
          </w:tblCellMar>
        </w:tblPrEx>
        <w:trPr>
          <w:trHeight w:val="340" w:hRule="atLeast"/>
        </w:trPr>
        <w:tc>
          <w:tcPr>
            <w:tcW w:w="426" w:type="pct"/>
            <w:tcBorders>
              <w:top w:val="single" w:color="auto" w:sz="4" w:space="0"/>
              <w:left w:val="single" w:color="auto" w:sz="4" w:space="0"/>
              <w:bottom w:val="single" w:color="auto" w:sz="4" w:space="0"/>
              <w:right w:val="single" w:color="auto" w:sz="4" w:space="0"/>
            </w:tcBorders>
            <w:vAlign w:val="center"/>
          </w:tcPr>
          <w:p w14:paraId="3A64E620">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家庭类别</w:t>
            </w:r>
          </w:p>
        </w:tc>
        <w:tc>
          <w:tcPr>
            <w:tcW w:w="425" w:type="pct"/>
            <w:tcBorders>
              <w:top w:val="single" w:color="auto" w:sz="4" w:space="0"/>
              <w:left w:val="nil"/>
              <w:bottom w:val="single" w:color="auto" w:sz="4" w:space="0"/>
              <w:right w:val="single" w:color="auto" w:sz="4" w:space="0"/>
            </w:tcBorders>
            <w:vAlign w:val="center"/>
          </w:tcPr>
          <w:p w14:paraId="2B118359">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人口数</w:t>
            </w:r>
          </w:p>
        </w:tc>
        <w:tc>
          <w:tcPr>
            <w:tcW w:w="852" w:type="pct"/>
            <w:tcBorders>
              <w:top w:val="single" w:color="auto" w:sz="4" w:space="0"/>
              <w:left w:val="nil"/>
              <w:bottom w:val="single" w:color="auto" w:sz="4" w:space="0"/>
              <w:right w:val="single" w:color="auto" w:sz="4" w:space="0"/>
            </w:tcBorders>
            <w:vAlign w:val="center"/>
          </w:tcPr>
          <w:p w14:paraId="0C908EC1">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家庭结构</w:t>
            </w:r>
          </w:p>
        </w:tc>
        <w:tc>
          <w:tcPr>
            <w:tcW w:w="1596" w:type="pct"/>
            <w:tcBorders>
              <w:top w:val="single" w:color="auto" w:sz="4" w:space="0"/>
              <w:left w:val="nil"/>
              <w:bottom w:val="single" w:color="auto" w:sz="4" w:space="0"/>
              <w:right w:val="single" w:color="auto" w:sz="4" w:space="0"/>
            </w:tcBorders>
            <w:vAlign w:val="center"/>
          </w:tcPr>
          <w:p w14:paraId="7CC0AD9E">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家庭成员是否有残疾、特定重大疾病</w:t>
            </w:r>
          </w:p>
        </w:tc>
        <w:tc>
          <w:tcPr>
            <w:tcW w:w="427" w:type="pct"/>
            <w:tcBorders>
              <w:top w:val="single" w:color="auto" w:sz="4" w:space="0"/>
              <w:left w:val="nil"/>
              <w:bottom w:val="single" w:color="auto" w:sz="4" w:space="0"/>
              <w:right w:val="single" w:color="auto" w:sz="4" w:space="0"/>
            </w:tcBorders>
            <w:vAlign w:val="center"/>
          </w:tcPr>
          <w:p w14:paraId="4D5EAAA0">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豁免系数</w:t>
            </w:r>
          </w:p>
        </w:tc>
        <w:tc>
          <w:tcPr>
            <w:tcW w:w="446" w:type="pct"/>
            <w:tcBorders>
              <w:top w:val="single" w:color="auto" w:sz="4" w:space="0"/>
              <w:left w:val="nil"/>
              <w:bottom w:val="single" w:color="auto" w:sz="4" w:space="0"/>
              <w:right w:val="single" w:color="auto" w:sz="4" w:space="0"/>
            </w:tcBorders>
            <w:vAlign w:val="center"/>
          </w:tcPr>
          <w:p w14:paraId="08424671">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补贴系数</w:t>
            </w:r>
          </w:p>
        </w:tc>
        <w:tc>
          <w:tcPr>
            <w:tcW w:w="828" w:type="pct"/>
            <w:tcBorders>
              <w:top w:val="single" w:color="auto" w:sz="4" w:space="0"/>
              <w:left w:val="nil"/>
              <w:bottom w:val="single" w:color="auto" w:sz="4" w:space="0"/>
              <w:right w:val="single" w:color="auto" w:sz="4" w:space="0"/>
            </w:tcBorders>
            <w:vAlign w:val="center"/>
          </w:tcPr>
          <w:p w14:paraId="5AC67663">
            <w:pPr>
              <w:widowControl/>
              <w:kinsoku/>
              <w:autoSpaceDE/>
              <w:autoSpaceDN/>
              <w:adjustRightInd/>
              <w:snapToGrid/>
              <w:spacing w:line="240" w:lineRule="auto"/>
              <w:ind w:firstLine="0" w:firstLineChars="0"/>
              <w:jc w:val="center"/>
              <w:textAlignment w:val="auto"/>
              <w:rPr>
                <w:rFonts w:ascii="仿宋" w:hAnsi="仿宋" w:cs="宋体"/>
                <w:b/>
                <w:bCs/>
                <w:snapToGrid/>
                <w:sz w:val="16"/>
                <w:szCs w:val="32"/>
                <w:lang w:eastAsia="zh-CN"/>
              </w:rPr>
            </w:pPr>
            <w:r>
              <w:rPr>
                <w:rFonts w:hint="eastAsia" w:ascii="仿宋" w:hAnsi="仿宋" w:cs="宋体"/>
                <w:b/>
                <w:bCs/>
                <w:snapToGrid/>
                <w:sz w:val="16"/>
                <w:szCs w:val="32"/>
                <w:lang w:eastAsia="zh-CN"/>
              </w:rPr>
              <w:t>配租房型</w:t>
            </w:r>
          </w:p>
        </w:tc>
      </w:tr>
      <w:tr w14:paraId="77C37A81">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0D9334FB">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11类</w:t>
            </w:r>
          </w:p>
        </w:tc>
        <w:tc>
          <w:tcPr>
            <w:tcW w:w="425" w:type="pct"/>
            <w:tcBorders>
              <w:top w:val="nil"/>
              <w:left w:val="nil"/>
              <w:bottom w:val="single" w:color="auto" w:sz="4" w:space="0"/>
              <w:right w:val="single" w:color="auto" w:sz="4" w:space="0"/>
            </w:tcBorders>
            <w:vAlign w:val="center"/>
          </w:tcPr>
          <w:p w14:paraId="261ED23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52" w:type="pct"/>
            <w:tcBorders>
              <w:top w:val="nil"/>
              <w:left w:val="nil"/>
              <w:bottom w:val="single" w:color="auto" w:sz="4" w:space="0"/>
              <w:right w:val="single" w:color="auto" w:sz="4" w:space="0"/>
            </w:tcBorders>
            <w:vAlign w:val="center"/>
          </w:tcPr>
          <w:p w14:paraId="48ADD2F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有子女</w:t>
            </w:r>
          </w:p>
        </w:tc>
        <w:tc>
          <w:tcPr>
            <w:tcW w:w="1596" w:type="pct"/>
            <w:tcBorders>
              <w:top w:val="nil"/>
              <w:left w:val="nil"/>
              <w:bottom w:val="single" w:color="auto" w:sz="4" w:space="0"/>
              <w:right w:val="single" w:color="auto" w:sz="4" w:space="0"/>
            </w:tcBorders>
            <w:vAlign w:val="center"/>
          </w:tcPr>
          <w:p w14:paraId="44909139">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68300DBB">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2ED17D6C">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828" w:type="pct"/>
            <w:tcBorders>
              <w:top w:val="nil"/>
              <w:left w:val="nil"/>
              <w:bottom w:val="single" w:color="auto" w:sz="4" w:space="0"/>
              <w:right w:val="single" w:color="auto" w:sz="4" w:space="0"/>
            </w:tcBorders>
            <w:vAlign w:val="center"/>
          </w:tcPr>
          <w:p w14:paraId="71D5521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w:t>
            </w:r>
          </w:p>
        </w:tc>
      </w:tr>
      <w:tr w14:paraId="5B6FA177">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2412535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12类</w:t>
            </w:r>
          </w:p>
        </w:tc>
        <w:tc>
          <w:tcPr>
            <w:tcW w:w="425" w:type="pct"/>
            <w:tcBorders>
              <w:top w:val="nil"/>
              <w:left w:val="nil"/>
              <w:bottom w:val="single" w:color="auto" w:sz="4" w:space="0"/>
              <w:right w:val="single" w:color="auto" w:sz="4" w:space="0"/>
            </w:tcBorders>
            <w:vAlign w:val="center"/>
          </w:tcPr>
          <w:p w14:paraId="06D0EFB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52" w:type="pct"/>
            <w:tcBorders>
              <w:top w:val="nil"/>
              <w:left w:val="nil"/>
              <w:bottom w:val="single" w:color="auto" w:sz="4" w:space="0"/>
              <w:right w:val="single" w:color="auto" w:sz="4" w:space="0"/>
            </w:tcBorders>
            <w:vAlign w:val="center"/>
          </w:tcPr>
          <w:p w14:paraId="2B55559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有子女</w:t>
            </w:r>
          </w:p>
        </w:tc>
        <w:tc>
          <w:tcPr>
            <w:tcW w:w="1596" w:type="pct"/>
            <w:tcBorders>
              <w:top w:val="nil"/>
              <w:left w:val="nil"/>
              <w:bottom w:val="single" w:color="auto" w:sz="4" w:space="0"/>
              <w:right w:val="single" w:color="auto" w:sz="4" w:space="0"/>
            </w:tcBorders>
            <w:vAlign w:val="center"/>
          </w:tcPr>
          <w:p w14:paraId="356005C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19231E6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446" w:type="pct"/>
            <w:tcBorders>
              <w:top w:val="nil"/>
              <w:left w:val="nil"/>
              <w:bottom w:val="single" w:color="auto" w:sz="4" w:space="0"/>
              <w:right w:val="single" w:color="auto" w:sz="4" w:space="0"/>
            </w:tcBorders>
            <w:vAlign w:val="center"/>
          </w:tcPr>
          <w:p w14:paraId="21E30B1B">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828" w:type="pct"/>
            <w:tcBorders>
              <w:top w:val="nil"/>
              <w:left w:val="nil"/>
              <w:bottom w:val="single" w:color="auto" w:sz="4" w:space="0"/>
              <w:right w:val="single" w:color="auto" w:sz="4" w:space="0"/>
            </w:tcBorders>
            <w:vAlign w:val="center"/>
          </w:tcPr>
          <w:p w14:paraId="67C5BDB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w:t>
            </w:r>
          </w:p>
        </w:tc>
      </w:tr>
      <w:tr w14:paraId="437E3FDB">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319F883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13类</w:t>
            </w:r>
          </w:p>
        </w:tc>
        <w:tc>
          <w:tcPr>
            <w:tcW w:w="425" w:type="pct"/>
            <w:tcBorders>
              <w:top w:val="nil"/>
              <w:left w:val="nil"/>
              <w:bottom w:val="single" w:color="auto" w:sz="4" w:space="0"/>
              <w:right w:val="single" w:color="auto" w:sz="4" w:space="0"/>
            </w:tcBorders>
            <w:vAlign w:val="center"/>
          </w:tcPr>
          <w:p w14:paraId="679B292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52" w:type="pct"/>
            <w:tcBorders>
              <w:top w:val="nil"/>
              <w:left w:val="nil"/>
              <w:bottom w:val="single" w:color="auto" w:sz="4" w:space="0"/>
              <w:right w:val="single" w:color="auto" w:sz="4" w:space="0"/>
            </w:tcBorders>
            <w:vAlign w:val="center"/>
          </w:tcPr>
          <w:p w14:paraId="0F3FD9B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无子女</w:t>
            </w:r>
          </w:p>
        </w:tc>
        <w:tc>
          <w:tcPr>
            <w:tcW w:w="1596" w:type="pct"/>
            <w:tcBorders>
              <w:top w:val="nil"/>
              <w:left w:val="nil"/>
              <w:bottom w:val="single" w:color="auto" w:sz="4" w:space="0"/>
              <w:right w:val="single" w:color="auto" w:sz="4" w:space="0"/>
            </w:tcBorders>
            <w:vAlign w:val="center"/>
          </w:tcPr>
          <w:p w14:paraId="56DF432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3886145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4E3C713C">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828" w:type="pct"/>
            <w:tcBorders>
              <w:top w:val="nil"/>
              <w:left w:val="nil"/>
              <w:bottom w:val="single" w:color="auto" w:sz="4" w:space="0"/>
              <w:right w:val="single" w:color="auto" w:sz="4" w:space="0"/>
            </w:tcBorders>
            <w:vAlign w:val="center"/>
          </w:tcPr>
          <w:p w14:paraId="4B5D4A7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w:t>
            </w:r>
          </w:p>
        </w:tc>
      </w:tr>
      <w:tr w14:paraId="4C5B569E">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0E671C49">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14类</w:t>
            </w:r>
          </w:p>
        </w:tc>
        <w:tc>
          <w:tcPr>
            <w:tcW w:w="425" w:type="pct"/>
            <w:tcBorders>
              <w:top w:val="nil"/>
              <w:left w:val="nil"/>
              <w:bottom w:val="single" w:color="auto" w:sz="4" w:space="0"/>
              <w:right w:val="single" w:color="auto" w:sz="4" w:space="0"/>
            </w:tcBorders>
            <w:vAlign w:val="center"/>
          </w:tcPr>
          <w:p w14:paraId="6E4C10D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52" w:type="pct"/>
            <w:tcBorders>
              <w:top w:val="nil"/>
              <w:left w:val="nil"/>
              <w:bottom w:val="single" w:color="auto" w:sz="4" w:space="0"/>
              <w:right w:val="single" w:color="auto" w:sz="4" w:space="0"/>
            </w:tcBorders>
            <w:vAlign w:val="center"/>
          </w:tcPr>
          <w:p w14:paraId="3B8020A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无子女</w:t>
            </w:r>
          </w:p>
        </w:tc>
        <w:tc>
          <w:tcPr>
            <w:tcW w:w="1596" w:type="pct"/>
            <w:tcBorders>
              <w:top w:val="nil"/>
              <w:left w:val="nil"/>
              <w:bottom w:val="single" w:color="auto" w:sz="4" w:space="0"/>
              <w:right w:val="single" w:color="auto" w:sz="4" w:space="0"/>
            </w:tcBorders>
            <w:vAlign w:val="center"/>
          </w:tcPr>
          <w:p w14:paraId="56F8F07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 (含退休)</w:t>
            </w:r>
          </w:p>
        </w:tc>
        <w:tc>
          <w:tcPr>
            <w:tcW w:w="427" w:type="pct"/>
            <w:tcBorders>
              <w:top w:val="nil"/>
              <w:left w:val="nil"/>
              <w:bottom w:val="single" w:color="auto" w:sz="4" w:space="0"/>
              <w:right w:val="single" w:color="auto" w:sz="4" w:space="0"/>
            </w:tcBorders>
            <w:vAlign w:val="center"/>
          </w:tcPr>
          <w:p w14:paraId="4A46F3C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2.0</w:t>
            </w:r>
          </w:p>
        </w:tc>
        <w:tc>
          <w:tcPr>
            <w:tcW w:w="446" w:type="pct"/>
            <w:tcBorders>
              <w:top w:val="nil"/>
              <w:left w:val="nil"/>
              <w:bottom w:val="single" w:color="auto" w:sz="4" w:space="0"/>
              <w:right w:val="single" w:color="auto" w:sz="4" w:space="0"/>
            </w:tcBorders>
            <w:vAlign w:val="center"/>
          </w:tcPr>
          <w:p w14:paraId="2BDBB2E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828" w:type="pct"/>
            <w:tcBorders>
              <w:top w:val="nil"/>
              <w:left w:val="nil"/>
              <w:bottom w:val="single" w:color="auto" w:sz="4" w:space="0"/>
              <w:right w:val="single" w:color="auto" w:sz="4" w:space="0"/>
            </w:tcBorders>
            <w:vAlign w:val="center"/>
          </w:tcPr>
          <w:p w14:paraId="53AC873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w:t>
            </w:r>
          </w:p>
        </w:tc>
      </w:tr>
      <w:tr w14:paraId="5A321A7E">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4F31936B">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21类</w:t>
            </w:r>
          </w:p>
        </w:tc>
        <w:tc>
          <w:tcPr>
            <w:tcW w:w="425" w:type="pct"/>
            <w:tcBorders>
              <w:top w:val="nil"/>
              <w:left w:val="nil"/>
              <w:bottom w:val="single" w:color="auto" w:sz="4" w:space="0"/>
              <w:right w:val="single" w:color="auto" w:sz="4" w:space="0"/>
            </w:tcBorders>
            <w:vAlign w:val="center"/>
          </w:tcPr>
          <w:p w14:paraId="53E762CA">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w:t>
            </w:r>
          </w:p>
        </w:tc>
        <w:tc>
          <w:tcPr>
            <w:tcW w:w="852" w:type="pct"/>
            <w:tcBorders>
              <w:top w:val="nil"/>
              <w:left w:val="nil"/>
              <w:bottom w:val="single" w:color="auto" w:sz="4" w:space="0"/>
              <w:right w:val="single" w:color="auto" w:sz="4" w:space="0"/>
            </w:tcBorders>
            <w:vAlign w:val="center"/>
          </w:tcPr>
          <w:p w14:paraId="0AE1060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夫妻</w:t>
            </w:r>
          </w:p>
        </w:tc>
        <w:tc>
          <w:tcPr>
            <w:tcW w:w="1596" w:type="pct"/>
            <w:tcBorders>
              <w:top w:val="nil"/>
              <w:left w:val="nil"/>
              <w:bottom w:val="single" w:color="auto" w:sz="4" w:space="0"/>
              <w:right w:val="single" w:color="auto" w:sz="4" w:space="0"/>
            </w:tcBorders>
            <w:vAlign w:val="center"/>
          </w:tcPr>
          <w:p w14:paraId="716AB15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6FA9653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26B9105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3206C96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单身公寓或一房一厅</w:t>
            </w:r>
          </w:p>
        </w:tc>
      </w:tr>
      <w:tr w14:paraId="22EDD047">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2B4C6BA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22类</w:t>
            </w:r>
          </w:p>
        </w:tc>
        <w:tc>
          <w:tcPr>
            <w:tcW w:w="425" w:type="pct"/>
            <w:tcBorders>
              <w:top w:val="nil"/>
              <w:left w:val="nil"/>
              <w:bottom w:val="single" w:color="auto" w:sz="4" w:space="0"/>
              <w:right w:val="single" w:color="auto" w:sz="4" w:space="0"/>
            </w:tcBorders>
            <w:vAlign w:val="center"/>
          </w:tcPr>
          <w:p w14:paraId="48BF747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w:t>
            </w:r>
          </w:p>
        </w:tc>
        <w:tc>
          <w:tcPr>
            <w:tcW w:w="852" w:type="pct"/>
            <w:tcBorders>
              <w:top w:val="nil"/>
              <w:left w:val="nil"/>
              <w:bottom w:val="single" w:color="auto" w:sz="4" w:space="0"/>
              <w:right w:val="single" w:color="auto" w:sz="4" w:space="0"/>
            </w:tcBorders>
            <w:vAlign w:val="center"/>
          </w:tcPr>
          <w:p w14:paraId="5E47F58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夫妻</w:t>
            </w:r>
          </w:p>
        </w:tc>
        <w:tc>
          <w:tcPr>
            <w:tcW w:w="1596" w:type="pct"/>
            <w:tcBorders>
              <w:top w:val="nil"/>
              <w:left w:val="nil"/>
              <w:bottom w:val="single" w:color="auto" w:sz="4" w:space="0"/>
              <w:right w:val="single" w:color="auto" w:sz="4" w:space="0"/>
            </w:tcBorders>
            <w:vAlign w:val="center"/>
          </w:tcPr>
          <w:p w14:paraId="1BA66D9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4E643F5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446" w:type="pct"/>
            <w:tcBorders>
              <w:top w:val="nil"/>
              <w:left w:val="nil"/>
              <w:bottom w:val="single" w:color="auto" w:sz="4" w:space="0"/>
              <w:right w:val="single" w:color="auto" w:sz="4" w:space="0"/>
            </w:tcBorders>
            <w:vAlign w:val="center"/>
          </w:tcPr>
          <w:p w14:paraId="098F263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5081336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单身公寓或一房一厅</w:t>
            </w:r>
          </w:p>
        </w:tc>
      </w:tr>
      <w:tr w14:paraId="66CE4F57">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02DA2C6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23类</w:t>
            </w:r>
          </w:p>
        </w:tc>
        <w:tc>
          <w:tcPr>
            <w:tcW w:w="425" w:type="pct"/>
            <w:tcBorders>
              <w:top w:val="nil"/>
              <w:left w:val="nil"/>
              <w:bottom w:val="single" w:color="auto" w:sz="4" w:space="0"/>
              <w:right w:val="single" w:color="auto" w:sz="4" w:space="0"/>
            </w:tcBorders>
            <w:vAlign w:val="center"/>
          </w:tcPr>
          <w:p w14:paraId="4EF60AD9">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w:t>
            </w:r>
          </w:p>
        </w:tc>
        <w:tc>
          <w:tcPr>
            <w:tcW w:w="852" w:type="pct"/>
            <w:tcBorders>
              <w:top w:val="nil"/>
              <w:left w:val="nil"/>
              <w:bottom w:val="single" w:color="auto" w:sz="4" w:space="0"/>
              <w:right w:val="single" w:color="auto" w:sz="4" w:space="0"/>
            </w:tcBorders>
            <w:vAlign w:val="center"/>
          </w:tcPr>
          <w:p w14:paraId="298B352A">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父子 (女)或母子 (女)</w:t>
            </w:r>
          </w:p>
        </w:tc>
        <w:tc>
          <w:tcPr>
            <w:tcW w:w="1596" w:type="pct"/>
            <w:tcBorders>
              <w:top w:val="nil"/>
              <w:left w:val="nil"/>
              <w:bottom w:val="single" w:color="auto" w:sz="4" w:space="0"/>
              <w:right w:val="single" w:color="auto" w:sz="4" w:space="0"/>
            </w:tcBorders>
            <w:vAlign w:val="center"/>
          </w:tcPr>
          <w:p w14:paraId="0A1742D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62DFA7C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1.5</w:t>
            </w:r>
          </w:p>
        </w:tc>
        <w:tc>
          <w:tcPr>
            <w:tcW w:w="446" w:type="pct"/>
            <w:tcBorders>
              <w:top w:val="nil"/>
              <w:left w:val="nil"/>
              <w:bottom w:val="single" w:color="auto" w:sz="4" w:space="0"/>
              <w:right w:val="single" w:color="auto" w:sz="4" w:space="0"/>
            </w:tcBorders>
            <w:vAlign w:val="center"/>
          </w:tcPr>
          <w:p w14:paraId="3F70ED1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126DDEF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一房一厅或两房一厅</w:t>
            </w:r>
          </w:p>
        </w:tc>
      </w:tr>
      <w:tr w14:paraId="4F5C3E47">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0882DFC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24类</w:t>
            </w:r>
          </w:p>
        </w:tc>
        <w:tc>
          <w:tcPr>
            <w:tcW w:w="425" w:type="pct"/>
            <w:tcBorders>
              <w:top w:val="nil"/>
              <w:left w:val="nil"/>
              <w:bottom w:val="single" w:color="auto" w:sz="4" w:space="0"/>
              <w:right w:val="single" w:color="auto" w:sz="4" w:space="0"/>
            </w:tcBorders>
            <w:vAlign w:val="center"/>
          </w:tcPr>
          <w:p w14:paraId="6D48EA0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w:t>
            </w:r>
          </w:p>
        </w:tc>
        <w:tc>
          <w:tcPr>
            <w:tcW w:w="852" w:type="pct"/>
            <w:tcBorders>
              <w:top w:val="nil"/>
              <w:left w:val="nil"/>
              <w:bottom w:val="single" w:color="auto" w:sz="4" w:space="0"/>
              <w:right w:val="single" w:color="auto" w:sz="4" w:space="0"/>
            </w:tcBorders>
            <w:vAlign w:val="center"/>
          </w:tcPr>
          <w:p w14:paraId="0FFBE92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父子 (女)或母子 (女)</w:t>
            </w:r>
          </w:p>
        </w:tc>
        <w:tc>
          <w:tcPr>
            <w:tcW w:w="1596" w:type="pct"/>
            <w:tcBorders>
              <w:top w:val="nil"/>
              <w:left w:val="nil"/>
              <w:bottom w:val="single" w:color="auto" w:sz="4" w:space="0"/>
              <w:right w:val="single" w:color="auto" w:sz="4" w:space="0"/>
            </w:tcBorders>
            <w:vAlign w:val="center"/>
          </w:tcPr>
          <w:p w14:paraId="32ABBA9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4745B14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2.0</w:t>
            </w:r>
          </w:p>
        </w:tc>
        <w:tc>
          <w:tcPr>
            <w:tcW w:w="446" w:type="pct"/>
            <w:tcBorders>
              <w:top w:val="nil"/>
              <w:left w:val="nil"/>
              <w:bottom w:val="single" w:color="auto" w:sz="4" w:space="0"/>
              <w:right w:val="single" w:color="auto" w:sz="4" w:space="0"/>
            </w:tcBorders>
            <w:vAlign w:val="center"/>
          </w:tcPr>
          <w:p w14:paraId="2E0AEBA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7F10588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一房一厅或两房一厅</w:t>
            </w:r>
          </w:p>
        </w:tc>
      </w:tr>
      <w:tr w14:paraId="1B6C12AD">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5B5392C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31类</w:t>
            </w:r>
          </w:p>
        </w:tc>
        <w:tc>
          <w:tcPr>
            <w:tcW w:w="425" w:type="pct"/>
            <w:tcBorders>
              <w:top w:val="nil"/>
              <w:left w:val="nil"/>
              <w:bottom w:val="single" w:color="auto" w:sz="4" w:space="0"/>
              <w:right w:val="single" w:color="auto" w:sz="4" w:space="0"/>
            </w:tcBorders>
            <w:vAlign w:val="center"/>
          </w:tcPr>
          <w:p w14:paraId="3F5610C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w:t>
            </w:r>
          </w:p>
        </w:tc>
        <w:tc>
          <w:tcPr>
            <w:tcW w:w="852" w:type="pct"/>
            <w:tcBorders>
              <w:top w:val="nil"/>
              <w:left w:val="nil"/>
              <w:bottom w:val="single" w:color="auto" w:sz="4" w:space="0"/>
              <w:right w:val="single" w:color="auto" w:sz="4" w:space="0"/>
            </w:tcBorders>
            <w:vAlign w:val="center"/>
          </w:tcPr>
          <w:p w14:paraId="37D32DC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夫妻和子女</w:t>
            </w:r>
          </w:p>
        </w:tc>
        <w:tc>
          <w:tcPr>
            <w:tcW w:w="1596" w:type="pct"/>
            <w:tcBorders>
              <w:top w:val="nil"/>
              <w:left w:val="nil"/>
              <w:bottom w:val="single" w:color="auto" w:sz="4" w:space="0"/>
              <w:right w:val="single" w:color="auto" w:sz="4" w:space="0"/>
            </w:tcBorders>
            <w:vAlign w:val="center"/>
          </w:tcPr>
          <w:p w14:paraId="0563DBF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3D3FB6F9">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0B55051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1900FE6A">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w:t>
            </w:r>
          </w:p>
        </w:tc>
      </w:tr>
      <w:tr w14:paraId="0DDED343">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0CC1DC5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32类</w:t>
            </w:r>
          </w:p>
        </w:tc>
        <w:tc>
          <w:tcPr>
            <w:tcW w:w="425" w:type="pct"/>
            <w:tcBorders>
              <w:top w:val="nil"/>
              <w:left w:val="nil"/>
              <w:bottom w:val="single" w:color="auto" w:sz="4" w:space="0"/>
              <w:right w:val="single" w:color="auto" w:sz="4" w:space="0"/>
            </w:tcBorders>
            <w:vAlign w:val="center"/>
          </w:tcPr>
          <w:p w14:paraId="1EF2014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w:t>
            </w:r>
          </w:p>
        </w:tc>
        <w:tc>
          <w:tcPr>
            <w:tcW w:w="852" w:type="pct"/>
            <w:tcBorders>
              <w:top w:val="nil"/>
              <w:left w:val="nil"/>
              <w:bottom w:val="single" w:color="auto" w:sz="4" w:space="0"/>
              <w:right w:val="single" w:color="auto" w:sz="4" w:space="0"/>
            </w:tcBorders>
            <w:vAlign w:val="center"/>
          </w:tcPr>
          <w:p w14:paraId="1F6AE74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夫妻及子女</w:t>
            </w:r>
          </w:p>
        </w:tc>
        <w:tc>
          <w:tcPr>
            <w:tcW w:w="1596" w:type="pct"/>
            <w:tcBorders>
              <w:top w:val="nil"/>
              <w:left w:val="nil"/>
              <w:bottom w:val="single" w:color="auto" w:sz="4" w:space="0"/>
              <w:right w:val="single" w:color="auto" w:sz="4" w:space="0"/>
            </w:tcBorders>
            <w:vAlign w:val="center"/>
          </w:tcPr>
          <w:p w14:paraId="0F704C2B">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1320E6C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1.3</w:t>
            </w:r>
          </w:p>
        </w:tc>
        <w:tc>
          <w:tcPr>
            <w:tcW w:w="446" w:type="pct"/>
            <w:tcBorders>
              <w:top w:val="nil"/>
              <w:left w:val="nil"/>
              <w:bottom w:val="single" w:color="auto" w:sz="4" w:space="0"/>
              <w:right w:val="single" w:color="auto" w:sz="4" w:space="0"/>
            </w:tcBorders>
            <w:vAlign w:val="center"/>
          </w:tcPr>
          <w:p w14:paraId="25BECD3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34A4061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两房一厅或一房一厅</w:t>
            </w:r>
          </w:p>
        </w:tc>
      </w:tr>
      <w:tr w14:paraId="424DE1EA">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2CAB322A">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33类</w:t>
            </w:r>
          </w:p>
        </w:tc>
        <w:tc>
          <w:tcPr>
            <w:tcW w:w="425" w:type="pct"/>
            <w:tcBorders>
              <w:top w:val="nil"/>
              <w:left w:val="nil"/>
              <w:bottom w:val="single" w:color="auto" w:sz="4" w:space="0"/>
              <w:right w:val="single" w:color="auto" w:sz="4" w:space="0"/>
            </w:tcBorders>
            <w:vAlign w:val="center"/>
          </w:tcPr>
          <w:p w14:paraId="696A36E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w:t>
            </w:r>
          </w:p>
        </w:tc>
        <w:tc>
          <w:tcPr>
            <w:tcW w:w="852" w:type="pct"/>
            <w:tcBorders>
              <w:top w:val="nil"/>
              <w:left w:val="nil"/>
              <w:bottom w:val="single" w:color="auto" w:sz="4" w:space="0"/>
              <w:right w:val="single" w:color="auto" w:sz="4" w:space="0"/>
            </w:tcBorders>
            <w:vAlign w:val="center"/>
          </w:tcPr>
          <w:p w14:paraId="64E6EA8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含三代人</w:t>
            </w:r>
          </w:p>
        </w:tc>
        <w:tc>
          <w:tcPr>
            <w:tcW w:w="1596" w:type="pct"/>
            <w:tcBorders>
              <w:top w:val="nil"/>
              <w:left w:val="nil"/>
              <w:bottom w:val="single" w:color="auto" w:sz="4" w:space="0"/>
              <w:right w:val="single" w:color="auto" w:sz="4" w:space="0"/>
            </w:tcBorders>
            <w:vAlign w:val="center"/>
          </w:tcPr>
          <w:p w14:paraId="3C6A180E">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4507EB3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6EA85FB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2CAA747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两房一厅或一房一厅</w:t>
            </w:r>
          </w:p>
        </w:tc>
      </w:tr>
      <w:tr w14:paraId="0F934437">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604D320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34类</w:t>
            </w:r>
          </w:p>
        </w:tc>
        <w:tc>
          <w:tcPr>
            <w:tcW w:w="425" w:type="pct"/>
            <w:tcBorders>
              <w:top w:val="nil"/>
              <w:left w:val="nil"/>
              <w:bottom w:val="single" w:color="auto" w:sz="4" w:space="0"/>
              <w:right w:val="single" w:color="auto" w:sz="4" w:space="0"/>
            </w:tcBorders>
            <w:vAlign w:val="center"/>
          </w:tcPr>
          <w:p w14:paraId="6B56B2E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3</w:t>
            </w:r>
          </w:p>
        </w:tc>
        <w:tc>
          <w:tcPr>
            <w:tcW w:w="852" w:type="pct"/>
            <w:tcBorders>
              <w:top w:val="nil"/>
              <w:left w:val="nil"/>
              <w:bottom w:val="single" w:color="auto" w:sz="4" w:space="0"/>
              <w:right w:val="single" w:color="auto" w:sz="4" w:space="0"/>
            </w:tcBorders>
            <w:vAlign w:val="center"/>
          </w:tcPr>
          <w:p w14:paraId="0DAFAA1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含三代人</w:t>
            </w:r>
          </w:p>
        </w:tc>
        <w:tc>
          <w:tcPr>
            <w:tcW w:w="1596" w:type="pct"/>
            <w:tcBorders>
              <w:top w:val="nil"/>
              <w:left w:val="nil"/>
              <w:bottom w:val="single" w:color="auto" w:sz="4" w:space="0"/>
              <w:right w:val="single" w:color="auto" w:sz="4" w:space="0"/>
            </w:tcBorders>
            <w:vAlign w:val="center"/>
          </w:tcPr>
          <w:p w14:paraId="7B75A8B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4CB915E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1.3</w:t>
            </w:r>
          </w:p>
        </w:tc>
        <w:tc>
          <w:tcPr>
            <w:tcW w:w="446" w:type="pct"/>
            <w:tcBorders>
              <w:top w:val="nil"/>
              <w:left w:val="nil"/>
              <w:bottom w:val="single" w:color="auto" w:sz="4" w:space="0"/>
              <w:right w:val="single" w:color="auto" w:sz="4" w:space="0"/>
            </w:tcBorders>
            <w:vAlign w:val="center"/>
          </w:tcPr>
          <w:p w14:paraId="632CF70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3E579AF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两房一厅或一房一厅</w:t>
            </w:r>
          </w:p>
        </w:tc>
      </w:tr>
      <w:tr w14:paraId="534AA669">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4489299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41类</w:t>
            </w:r>
          </w:p>
        </w:tc>
        <w:tc>
          <w:tcPr>
            <w:tcW w:w="425" w:type="pct"/>
            <w:tcBorders>
              <w:top w:val="nil"/>
              <w:left w:val="nil"/>
              <w:bottom w:val="single" w:color="auto" w:sz="4" w:space="0"/>
              <w:right w:val="single" w:color="auto" w:sz="4" w:space="0"/>
            </w:tcBorders>
            <w:vAlign w:val="center"/>
          </w:tcPr>
          <w:p w14:paraId="763FBEF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4及以上</w:t>
            </w:r>
          </w:p>
        </w:tc>
        <w:tc>
          <w:tcPr>
            <w:tcW w:w="852" w:type="pct"/>
            <w:tcBorders>
              <w:top w:val="nil"/>
              <w:left w:val="nil"/>
              <w:bottom w:val="single" w:color="auto" w:sz="4" w:space="0"/>
              <w:right w:val="single" w:color="auto" w:sz="4" w:space="0"/>
            </w:tcBorders>
            <w:vAlign w:val="center"/>
          </w:tcPr>
          <w:p w14:paraId="55E08DA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含两代人</w:t>
            </w:r>
          </w:p>
        </w:tc>
        <w:tc>
          <w:tcPr>
            <w:tcW w:w="1596" w:type="pct"/>
            <w:tcBorders>
              <w:top w:val="nil"/>
              <w:left w:val="nil"/>
              <w:bottom w:val="single" w:color="auto" w:sz="4" w:space="0"/>
              <w:right w:val="single" w:color="auto" w:sz="4" w:space="0"/>
            </w:tcBorders>
            <w:vAlign w:val="center"/>
          </w:tcPr>
          <w:p w14:paraId="55AD1559">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4537951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320C98A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780294F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两房一厅或三房一厅</w:t>
            </w:r>
          </w:p>
        </w:tc>
      </w:tr>
      <w:tr w14:paraId="15DFFD6E">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364315E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42类</w:t>
            </w:r>
          </w:p>
        </w:tc>
        <w:tc>
          <w:tcPr>
            <w:tcW w:w="425" w:type="pct"/>
            <w:tcBorders>
              <w:top w:val="nil"/>
              <w:left w:val="nil"/>
              <w:bottom w:val="single" w:color="auto" w:sz="4" w:space="0"/>
              <w:right w:val="single" w:color="auto" w:sz="4" w:space="0"/>
            </w:tcBorders>
            <w:vAlign w:val="center"/>
          </w:tcPr>
          <w:p w14:paraId="1D6B3FA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4及以上</w:t>
            </w:r>
          </w:p>
        </w:tc>
        <w:tc>
          <w:tcPr>
            <w:tcW w:w="852" w:type="pct"/>
            <w:tcBorders>
              <w:top w:val="nil"/>
              <w:left w:val="nil"/>
              <w:bottom w:val="single" w:color="auto" w:sz="4" w:space="0"/>
              <w:right w:val="single" w:color="auto" w:sz="4" w:space="0"/>
            </w:tcBorders>
            <w:vAlign w:val="center"/>
          </w:tcPr>
          <w:p w14:paraId="42DB784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含两代人</w:t>
            </w:r>
          </w:p>
        </w:tc>
        <w:tc>
          <w:tcPr>
            <w:tcW w:w="1596" w:type="pct"/>
            <w:tcBorders>
              <w:top w:val="nil"/>
              <w:left w:val="nil"/>
              <w:bottom w:val="single" w:color="auto" w:sz="4" w:space="0"/>
              <w:right w:val="single" w:color="auto" w:sz="4" w:space="0"/>
            </w:tcBorders>
            <w:vAlign w:val="center"/>
          </w:tcPr>
          <w:p w14:paraId="5EB66D9B">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1BEF879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1.2</w:t>
            </w:r>
          </w:p>
        </w:tc>
        <w:tc>
          <w:tcPr>
            <w:tcW w:w="446" w:type="pct"/>
            <w:tcBorders>
              <w:top w:val="nil"/>
              <w:left w:val="nil"/>
              <w:bottom w:val="single" w:color="auto" w:sz="4" w:space="0"/>
              <w:right w:val="single" w:color="auto" w:sz="4" w:space="0"/>
            </w:tcBorders>
            <w:vAlign w:val="center"/>
          </w:tcPr>
          <w:p w14:paraId="6F25F31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5C46000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两房一厅或三房一厅</w:t>
            </w:r>
          </w:p>
        </w:tc>
      </w:tr>
      <w:tr w14:paraId="6FB4C649">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47E63D81">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43类</w:t>
            </w:r>
          </w:p>
        </w:tc>
        <w:tc>
          <w:tcPr>
            <w:tcW w:w="425" w:type="pct"/>
            <w:tcBorders>
              <w:top w:val="nil"/>
              <w:left w:val="nil"/>
              <w:bottom w:val="single" w:color="auto" w:sz="4" w:space="0"/>
              <w:right w:val="single" w:color="auto" w:sz="4" w:space="0"/>
            </w:tcBorders>
            <w:vAlign w:val="center"/>
          </w:tcPr>
          <w:p w14:paraId="744A3034">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4及以上</w:t>
            </w:r>
          </w:p>
        </w:tc>
        <w:tc>
          <w:tcPr>
            <w:tcW w:w="852" w:type="pct"/>
            <w:tcBorders>
              <w:top w:val="nil"/>
              <w:left w:val="nil"/>
              <w:bottom w:val="single" w:color="auto" w:sz="4" w:space="0"/>
              <w:right w:val="single" w:color="auto" w:sz="4" w:space="0"/>
            </w:tcBorders>
            <w:vAlign w:val="center"/>
          </w:tcPr>
          <w:p w14:paraId="74603E00">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含三代人</w:t>
            </w:r>
          </w:p>
        </w:tc>
        <w:tc>
          <w:tcPr>
            <w:tcW w:w="1596" w:type="pct"/>
            <w:tcBorders>
              <w:top w:val="nil"/>
              <w:left w:val="nil"/>
              <w:bottom w:val="single" w:color="auto" w:sz="4" w:space="0"/>
              <w:right w:val="single" w:color="auto" w:sz="4" w:space="0"/>
            </w:tcBorders>
            <w:vAlign w:val="center"/>
          </w:tcPr>
          <w:p w14:paraId="341EBA08">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无</w:t>
            </w:r>
          </w:p>
        </w:tc>
        <w:tc>
          <w:tcPr>
            <w:tcW w:w="427" w:type="pct"/>
            <w:tcBorders>
              <w:top w:val="nil"/>
              <w:left w:val="nil"/>
              <w:bottom w:val="single" w:color="auto" w:sz="4" w:space="0"/>
              <w:right w:val="single" w:color="auto" w:sz="4" w:space="0"/>
            </w:tcBorders>
            <w:vAlign w:val="center"/>
          </w:tcPr>
          <w:p w14:paraId="6C8E71AA">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1.0</w:t>
            </w:r>
          </w:p>
        </w:tc>
        <w:tc>
          <w:tcPr>
            <w:tcW w:w="446" w:type="pct"/>
            <w:tcBorders>
              <w:top w:val="nil"/>
              <w:left w:val="nil"/>
              <w:bottom w:val="single" w:color="auto" w:sz="4" w:space="0"/>
              <w:right w:val="single" w:color="auto" w:sz="4" w:space="0"/>
            </w:tcBorders>
            <w:vAlign w:val="center"/>
          </w:tcPr>
          <w:p w14:paraId="453E321F">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414E679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两房一厅或三房一厅</w:t>
            </w:r>
          </w:p>
        </w:tc>
      </w:tr>
      <w:tr w14:paraId="47F97D38">
        <w:tblPrEx>
          <w:tblCellMar>
            <w:top w:w="0" w:type="dxa"/>
            <w:left w:w="108" w:type="dxa"/>
            <w:bottom w:w="0" w:type="dxa"/>
            <w:right w:w="108" w:type="dxa"/>
          </w:tblCellMar>
        </w:tblPrEx>
        <w:trPr>
          <w:trHeight w:val="340" w:hRule="atLeast"/>
        </w:trPr>
        <w:tc>
          <w:tcPr>
            <w:tcW w:w="426" w:type="pct"/>
            <w:tcBorders>
              <w:top w:val="nil"/>
              <w:left w:val="single" w:color="auto" w:sz="4" w:space="0"/>
              <w:bottom w:val="single" w:color="auto" w:sz="4" w:space="0"/>
              <w:right w:val="single" w:color="auto" w:sz="4" w:space="0"/>
            </w:tcBorders>
            <w:vAlign w:val="center"/>
          </w:tcPr>
          <w:p w14:paraId="0EA45565">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44类</w:t>
            </w:r>
          </w:p>
        </w:tc>
        <w:tc>
          <w:tcPr>
            <w:tcW w:w="425" w:type="pct"/>
            <w:tcBorders>
              <w:top w:val="nil"/>
              <w:left w:val="nil"/>
              <w:bottom w:val="single" w:color="auto" w:sz="4" w:space="0"/>
              <w:right w:val="single" w:color="auto" w:sz="4" w:space="0"/>
            </w:tcBorders>
            <w:vAlign w:val="center"/>
          </w:tcPr>
          <w:p w14:paraId="18274E06">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4及以上</w:t>
            </w:r>
          </w:p>
        </w:tc>
        <w:tc>
          <w:tcPr>
            <w:tcW w:w="852" w:type="pct"/>
            <w:tcBorders>
              <w:top w:val="nil"/>
              <w:left w:val="nil"/>
              <w:bottom w:val="single" w:color="auto" w:sz="4" w:space="0"/>
              <w:right w:val="single" w:color="auto" w:sz="4" w:space="0"/>
            </w:tcBorders>
            <w:vAlign w:val="center"/>
          </w:tcPr>
          <w:p w14:paraId="277119B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含三代人</w:t>
            </w:r>
          </w:p>
        </w:tc>
        <w:tc>
          <w:tcPr>
            <w:tcW w:w="1596" w:type="pct"/>
            <w:tcBorders>
              <w:top w:val="nil"/>
              <w:left w:val="nil"/>
              <w:bottom w:val="single" w:color="auto" w:sz="4" w:space="0"/>
              <w:right w:val="single" w:color="auto" w:sz="4" w:space="0"/>
            </w:tcBorders>
            <w:vAlign w:val="center"/>
          </w:tcPr>
          <w:p w14:paraId="303A799D">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有</w:t>
            </w:r>
          </w:p>
        </w:tc>
        <w:tc>
          <w:tcPr>
            <w:tcW w:w="427" w:type="pct"/>
            <w:tcBorders>
              <w:top w:val="nil"/>
              <w:left w:val="nil"/>
              <w:bottom w:val="single" w:color="auto" w:sz="4" w:space="0"/>
              <w:right w:val="single" w:color="auto" w:sz="4" w:space="0"/>
            </w:tcBorders>
            <w:vAlign w:val="center"/>
          </w:tcPr>
          <w:p w14:paraId="3E95F8B7">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1.2</w:t>
            </w:r>
          </w:p>
        </w:tc>
        <w:tc>
          <w:tcPr>
            <w:tcW w:w="446" w:type="pct"/>
            <w:tcBorders>
              <w:top w:val="nil"/>
              <w:left w:val="nil"/>
              <w:bottom w:val="single" w:color="auto" w:sz="4" w:space="0"/>
              <w:right w:val="single" w:color="auto" w:sz="4" w:space="0"/>
            </w:tcBorders>
            <w:vAlign w:val="center"/>
          </w:tcPr>
          <w:p w14:paraId="43C091D3">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1</w:t>
            </w:r>
          </w:p>
        </w:tc>
        <w:tc>
          <w:tcPr>
            <w:tcW w:w="828" w:type="pct"/>
            <w:tcBorders>
              <w:top w:val="nil"/>
              <w:left w:val="nil"/>
              <w:bottom w:val="single" w:color="auto" w:sz="4" w:space="0"/>
              <w:right w:val="single" w:color="auto" w:sz="4" w:space="0"/>
            </w:tcBorders>
            <w:vAlign w:val="center"/>
          </w:tcPr>
          <w:p w14:paraId="04C319F2">
            <w:pPr>
              <w:widowControl/>
              <w:kinsoku/>
              <w:autoSpaceDE/>
              <w:autoSpaceDN/>
              <w:adjustRightInd/>
              <w:snapToGrid/>
              <w:spacing w:line="240" w:lineRule="auto"/>
              <w:ind w:firstLine="0" w:firstLineChars="0"/>
              <w:jc w:val="center"/>
              <w:textAlignment w:val="auto"/>
              <w:rPr>
                <w:rFonts w:ascii="仿宋" w:hAnsi="仿宋" w:cs="宋体"/>
                <w:snapToGrid/>
                <w:sz w:val="16"/>
                <w:szCs w:val="32"/>
                <w:lang w:eastAsia="zh-CN"/>
              </w:rPr>
            </w:pPr>
            <w:r>
              <w:rPr>
                <w:rFonts w:hint="eastAsia" w:ascii="仿宋" w:hAnsi="仿宋" w:cs="宋体"/>
                <w:snapToGrid/>
                <w:sz w:val="16"/>
                <w:szCs w:val="32"/>
                <w:lang w:eastAsia="zh-CN"/>
              </w:rPr>
              <w:t>两房一厅或三房一厅</w:t>
            </w:r>
          </w:p>
        </w:tc>
      </w:tr>
      <w:tr w14:paraId="1EB33974">
        <w:tblPrEx>
          <w:tblCellMar>
            <w:top w:w="0" w:type="dxa"/>
            <w:left w:w="108" w:type="dxa"/>
            <w:bottom w:w="0" w:type="dxa"/>
            <w:right w:w="108" w:type="dxa"/>
          </w:tblCellMar>
        </w:tblPrEx>
        <w:trPr>
          <w:trHeight w:val="1851" w:hRule="atLeast"/>
        </w:trPr>
        <w:tc>
          <w:tcPr>
            <w:tcW w:w="5000" w:type="pct"/>
            <w:gridSpan w:val="7"/>
            <w:tcBorders>
              <w:top w:val="single" w:color="auto" w:sz="4" w:space="0"/>
              <w:left w:val="single" w:color="auto" w:sz="4" w:space="0"/>
              <w:bottom w:val="single" w:color="auto" w:sz="4" w:space="0"/>
              <w:right w:val="single" w:color="000000" w:sz="4" w:space="0"/>
            </w:tcBorders>
            <w:vAlign w:val="center"/>
          </w:tcPr>
          <w:p w14:paraId="6A8E968F">
            <w:pPr>
              <w:widowControl/>
              <w:kinsoku/>
              <w:autoSpaceDE/>
              <w:autoSpaceDN/>
              <w:adjustRightInd/>
              <w:snapToGrid/>
              <w:spacing w:line="240" w:lineRule="auto"/>
              <w:ind w:firstLine="0" w:firstLineChars="0"/>
              <w:jc w:val="left"/>
              <w:textAlignment w:val="auto"/>
              <w:rPr>
                <w:rFonts w:ascii="仿宋" w:hAnsi="仿宋" w:cs="宋体"/>
                <w:snapToGrid/>
                <w:sz w:val="16"/>
                <w:szCs w:val="32"/>
                <w:lang w:eastAsia="zh-CN"/>
              </w:rPr>
            </w:pPr>
            <w:r>
              <w:rPr>
                <w:rFonts w:hint="eastAsia" w:ascii="仿宋" w:hAnsi="仿宋" w:cs="宋体"/>
                <w:snapToGrid/>
                <w:sz w:val="16"/>
                <w:szCs w:val="32"/>
                <w:lang w:eastAsia="zh-CN"/>
              </w:rPr>
              <w:t>说明：</w:t>
            </w:r>
            <w:r>
              <w:rPr>
                <w:rFonts w:hint="eastAsia" w:ascii="仿宋" w:hAnsi="仿宋" w:cs="宋体"/>
                <w:b/>
                <w:snapToGrid/>
                <w:sz w:val="16"/>
                <w:szCs w:val="32"/>
                <w:lang w:eastAsia="zh-CN"/>
              </w:rPr>
              <w:t>*表中配租房型仅为指导参考，实际配租房型以项目配租方案规定为准。</w:t>
            </w:r>
          </w:p>
          <w:p w14:paraId="41559A8E">
            <w:pPr>
              <w:widowControl/>
              <w:kinsoku/>
              <w:autoSpaceDE/>
              <w:autoSpaceDN/>
              <w:adjustRightInd/>
              <w:snapToGrid/>
              <w:spacing w:line="240" w:lineRule="auto"/>
              <w:ind w:firstLine="0" w:firstLineChars="0"/>
              <w:jc w:val="left"/>
              <w:textAlignment w:val="auto"/>
              <w:rPr>
                <w:rFonts w:ascii="仿宋" w:hAnsi="仿宋" w:cs="宋体"/>
                <w:snapToGrid/>
                <w:sz w:val="16"/>
                <w:szCs w:val="32"/>
                <w:lang w:eastAsia="zh-CN"/>
              </w:rPr>
            </w:pPr>
            <w:r>
              <w:rPr>
                <w:rFonts w:hint="eastAsia" w:ascii="仿宋" w:hAnsi="仿宋" w:cs="宋体"/>
                <w:snapToGrid/>
                <w:sz w:val="16"/>
                <w:szCs w:val="32"/>
                <w:lang w:eastAsia="zh-CN"/>
              </w:rPr>
              <w:t>*低收入家庭的保障类别补贴系数为0.9，较低收入家庭的保障类别补贴系数为0.5。</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特殊不在列表的家庭，参照最困难家庭按照1.0的系数计算，报市住房保障联席会议研究决定。</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本表子女特指：(1)未成年子女；(2)处于求学阶段；(3)没工作能力的子女。</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如子女已工作或有工作能力的，不享受系数提高的待遇。</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*失独家庭可按相应人口数的家庭类别最高豁免系数确定保障收入准入线。</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补贴的计算公式：</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低收入家庭可享受补贴=保障人口*15㎡*补贴系数*提供保障区的平均市场租金*0.9。</w:t>
            </w:r>
            <w:r>
              <w:rPr>
                <w:rFonts w:hint="eastAsia" w:ascii="仿宋" w:hAnsi="仿宋" w:cs="宋体"/>
                <w:snapToGrid/>
                <w:sz w:val="16"/>
                <w:szCs w:val="32"/>
                <w:lang w:eastAsia="zh-CN"/>
              </w:rPr>
              <w:br w:type="textWrapping"/>
            </w:r>
            <w:r>
              <w:rPr>
                <w:rFonts w:hint="eastAsia" w:ascii="仿宋" w:hAnsi="仿宋" w:cs="宋体"/>
                <w:snapToGrid/>
                <w:sz w:val="16"/>
                <w:szCs w:val="32"/>
                <w:lang w:eastAsia="zh-CN"/>
              </w:rPr>
              <w:t>较低收入家庭可享受补贴=保障人口*15㎡*补贴系数*提供保障区的平均市场租金*0.5。</w:t>
            </w:r>
          </w:p>
        </w:tc>
      </w:tr>
    </w:tbl>
    <w:p w14:paraId="7A02F6F0">
      <w:pPr>
        <w:spacing w:line="240" w:lineRule="auto"/>
        <w:ind w:firstLine="0" w:firstLineChars="0"/>
        <w:rPr>
          <w:rFonts w:ascii="仿宋" w:hAnsi="仿宋" w:cs="仿宋"/>
          <w:snapToGrid/>
          <w:color w:val="auto"/>
          <w:szCs w:val="32"/>
          <w:shd w:val="clear" w:color="auto" w:fill="FFFFFF"/>
          <w:lang w:eastAsia="zh-CN" w:bidi="ar"/>
        </w:rPr>
      </w:pPr>
    </w:p>
    <w:sectPr>
      <w:pgSz w:w="16700" w:h="11830" w:orient="landscape"/>
      <w:pgMar w:top="1429" w:right="1418" w:bottom="1627" w:left="1962" w:header="0" w:footer="0"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Liberation Sans">
    <w:altName w:val="Segoe Print"/>
    <w:panose1 w:val="020B0604020202020204"/>
    <w:charset w:val="00"/>
    <w:family w:val="auto"/>
    <w:pitch w:val="default"/>
    <w:sig w:usb0="00000000" w:usb1="00000000" w:usb2="00000000" w:usb3="00000000" w:csb0="6000009F" w:csb1="DFD7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68FB">
    <w:pPr>
      <w:pStyle w:val="6"/>
      <w:ind w:firstLine="560"/>
      <w:jc w:val="right"/>
      <w:rPr>
        <w:rFonts w:asciiTheme="majorHAnsi" w:hAnsiTheme="majorHAnsi" w:eastAsiaTheme="majorEastAsia" w:cstheme="majorBidi"/>
        <w:sz w:val="28"/>
        <w:szCs w:val="28"/>
      </w:rPr>
    </w:pPr>
    <w:r>
      <w:rPr>
        <w:sz w:val="28"/>
        <w:lang w:eastAsia="zh-CN"/>
      </w:rPr>
      <mc:AlternateContent>
        <mc:Choice Requires="wps">
          <w:drawing>
            <wp:anchor distT="0" distB="0" distL="114300" distR="114300" simplePos="0" relativeHeight="251659264" behindDoc="0" locked="0" layoutInCell="1" allowOverlap="1">
              <wp:simplePos x="0" y="0"/>
              <wp:positionH relativeFrom="margin">
                <wp:posOffset>5006975</wp:posOffset>
              </wp:positionH>
              <wp:positionV relativeFrom="paragraph">
                <wp:posOffset>-581025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EB79C">
                          <w:pPr>
                            <w:pStyle w:val="6"/>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4.25pt;margin-top:-45.75pt;height:144pt;width:144pt;mso-position-horizontal-relative:margin;mso-wrap-style:none;z-index:251659264;mso-width-relative:page;mso-height-relative:page;" filled="f" stroked="f" coordsize="21600,21600" o:gfxdata="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0GuW&#10;ha3eWR6ho3jero4BAra6RlE6JXqt0G1tZfrJiO38576Nevob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uVi3NcAAAAMAQAADwAAAAAAAAABACAAAAAiAAAAZHJzL2Rvd25yZXYueG1sUEsBAhQA&#10;FAAAAAgAh07iQL0O3bcsAgAAVQQAAA4AAAAAAAAAAQAgAAAAJgEAAGRycy9lMm9Eb2MueG1sUEsF&#10;BgAAAAAGAAYAWQEAAMQFAAAAAA==&#10;">
              <v:fill on="f" focussize="0,0"/>
              <v:stroke on="f" weight="0.5pt"/>
              <v:imagedata o:title=""/>
              <o:lock v:ext="edit" aspectratio="f"/>
              <v:textbox inset="0mm,0mm,0mm,0mm" style="mso-fit-shape-to-text:t;">
                <w:txbxContent>
                  <w:p w14:paraId="16EEB79C">
                    <w:pPr>
                      <w:pStyle w:val="6"/>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01CAD7A">
    <w:pPr>
      <w:spacing w:line="234" w:lineRule="auto"/>
      <w:ind w:left="289" w:firstLine="700"/>
      <w:rPr>
        <w:rFonts w:ascii="宋体" w:hAnsi="宋体" w:eastAsia="宋体" w:cs="宋体"/>
        <w:sz w:val="35"/>
        <w:szCs w:val="3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4030">
    <w:pPr>
      <w:pStyle w:val="6"/>
      <w:ind w:firstLine="560"/>
      <w:jc w:val="left"/>
      <w:rPr>
        <w:rFonts w:asciiTheme="majorHAnsi" w:hAnsiTheme="majorHAnsi" w:eastAsiaTheme="majorEastAsia" w:cstheme="majorBidi"/>
        <w:sz w:val="28"/>
        <w:szCs w:val="28"/>
      </w:rPr>
    </w:pPr>
    <w:r>
      <w:rPr>
        <w:sz w:val="28"/>
        <w:lang w:eastAsia="zh-CN"/>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-533400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412DF">
                          <w:pPr>
                            <w:pStyle w:val="6"/>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42pt;height:144pt;width:144pt;mso-position-horizontal-relative:margin;mso-wrap-style:none;z-index:251660288;mso-width-relative:page;mso-height-relative:page;" filled="f" stroked="f" coordsize="21600,21600" o:gfxdata="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odcsCxv9&#10;YHmEjuJ5u9wHCJh0jaL0Spy1QrelypwnI7bzn/sU9fg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YM9NQAAAAJAQAADwAAAAAAAAABACAAAAAiAAAAZHJzL2Rvd25yZXYueG1sUEsBAhQAFAAA&#10;AAgAh07iQBcMibgsAgAAVQQAAA4AAAAAAAAAAQAgAAAAIwEAAGRycy9lMm9Eb2MueG1sUEsFBgAA&#10;AAAGAAYAWQEAAMEFAAAAAA==&#10;">
              <v:fill on="f" focussize="0,0"/>
              <v:stroke on="f" weight="0.5pt"/>
              <v:imagedata o:title=""/>
              <o:lock v:ext="edit" aspectratio="f"/>
              <v:textbox inset="0mm,0mm,0mm,0mm" style="mso-fit-shape-to-text:t;">
                <w:txbxContent>
                  <w:p w14:paraId="008412DF">
                    <w:pPr>
                      <w:pStyle w:val="6"/>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1FA6D44">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0D6A">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D562B">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9578">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2C09">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trackRevisions w:val="1"/>
  <w:documentProtection w:enforcement="0"/>
  <w:defaultTabStop w:val="4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F1"/>
    <w:rsid w:val="00003AD2"/>
    <w:rsid w:val="00005498"/>
    <w:rsid w:val="00012A6B"/>
    <w:rsid w:val="00014714"/>
    <w:rsid w:val="00016413"/>
    <w:rsid w:val="00017999"/>
    <w:rsid w:val="00023B0C"/>
    <w:rsid w:val="00026F59"/>
    <w:rsid w:val="0003797B"/>
    <w:rsid w:val="00040A8E"/>
    <w:rsid w:val="0004147D"/>
    <w:rsid w:val="0004486E"/>
    <w:rsid w:val="0005076B"/>
    <w:rsid w:val="00051BFE"/>
    <w:rsid w:val="0006343E"/>
    <w:rsid w:val="00065CF0"/>
    <w:rsid w:val="000733CD"/>
    <w:rsid w:val="000741C1"/>
    <w:rsid w:val="0008295B"/>
    <w:rsid w:val="0008594A"/>
    <w:rsid w:val="000871C1"/>
    <w:rsid w:val="00094F74"/>
    <w:rsid w:val="00097BD9"/>
    <w:rsid w:val="000A2023"/>
    <w:rsid w:val="000B1A8D"/>
    <w:rsid w:val="000B344F"/>
    <w:rsid w:val="000B4771"/>
    <w:rsid w:val="000C0C42"/>
    <w:rsid w:val="000C0C91"/>
    <w:rsid w:val="000D1FA2"/>
    <w:rsid w:val="000D26A8"/>
    <w:rsid w:val="000E43A5"/>
    <w:rsid w:val="000E7718"/>
    <w:rsid w:val="000F00B9"/>
    <w:rsid w:val="00102985"/>
    <w:rsid w:val="00103655"/>
    <w:rsid w:val="0010642C"/>
    <w:rsid w:val="0010684B"/>
    <w:rsid w:val="001076FA"/>
    <w:rsid w:val="00116941"/>
    <w:rsid w:val="00117C59"/>
    <w:rsid w:val="001223DE"/>
    <w:rsid w:val="00124B58"/>
    <w:rsid w:val="00130BFA"/>
    <w:rsid w:val="00131992"/>
    <w:rsid w:val="001346CB"/>
    <w:rsid w:val="00137C07"/>
    <w:rsid w:val="00146E5C"/>
    <w:rsid w:val="00147F1B"/>
    <w:rsid w:val="00154442"/>
    <w:rsid w:val="001609D0"/>
    <w:rsid w:val="001610D9"/>
    <w:rsid w:val="00161CB5"/>
    <w:rsid w:val="00171477"/>
    <w:rsid w:val="00183179"/>
    <w:rsid w:val="0018438B"/>
    <w:rsid w:val="00184713"/>
    <w:rsid w:val="00186059"/>
    <w:rsid w:val="001A5EC5"/>
    <w:rsid w:val="001A77DD"/>
    <w:rsid w:val="001B4409"/>
    <w:rsid w:val="001C2832"/>
    <w:rsid w:val="001C3697"/>
    <w:rsid w:val="001C400A"/>
    <w:rsid w:val="001C681F"/>
    <w:rsid w:val="001D461E"/>
    <w:rsid w:val="001D528A"/>
    <w:rsid w:val="001D7D08"/>
    <w:rsid w:val="001E6BDE"/>
    <w:rsid w:val="001E79C4"/>
    <w:rsid w:val="001F79BD"/>
    <w:rsid w:val="002055C7"/>
    <w:rsid w:val="00205866"/>
    <w:rsid w:val="00211F55"/>
    <w:rsid w:val="00213701"/>
    <w:rsid w:val="00217395"/>
    <w:rsid w:val="00233052"/>
    <w:rsid w:val="002345CF"/>
    <w:rsid w:val="002364D6"/>
    <w:rsid w:val="0023758C"/>
    <w:rsid w:val="0024214A"/>
    <w:rsid w:val="00250D13"/>
    <w:rsid w:val="00253DC6"/>
    <w:rsid w:val="0025416A"/>
    <w:rsid w:val="0025581A"/>
    <w:rsid w:val="00263C28"/>
    <w:rsid w:val="00267900"/>
    <w:rsid w:val="00274144"/>
    <w:rsid w:val="00276F25"/>
    <w:rsid w:val="002841DB"/>
    <w:rsid w:val="00285210"/>
    <w:rsid w:val="0028753A"/>
    <w:rsid w:val="002A39A2"/>
    <w:rsid w:val="002A5CF1"/>
    <w:rsid w:val="002C0FAA"/>
    <w:rsid w:val="002C61BA"/>
    <w:rsid w:val="002C6E65"/>
    <w:rsid w:val="002C7DBC"/>
    <w:rsid w:val="002D0C04"/>
    <w:rsid w:val="002E000D"/>
    <w:rsid w:val="002E3185"/>
    <w:rsid w:val="002E6009"/>
    <w:rsid w:val="002E6A6D"/>
    <w:rsid w:val="002F186E"/>
    <w:rsid w:val="00300226"/>
    <w:rsid w:val="00300B03"/>
    <w:rsid w:val="0031286D"/>
    <w:rsid w:val="0032241E"/>
    <w:rsid w:val="00327C5A"/>
    <w:rsid w:val="00333C7D"/>
    <w:rsid w:val="003349BC"/>
    <w:rsid w:val="00335A1E"/>
    <w:rsid w:val="00335B65"/>
    <w:rsid w:val="00335EC3"/>
    <w:rsid w:val="00344E67"/>
    <w:rsid w:val="0034660A"/>
    <w:rsid w:val="00355205"/>
    <w:rsid w:val="003614EE"/>
    <w:rsid w:val="0036164E"/>
    <w:rsid w:val="00366FFD"/>
    <w:rsid w:val="0037103C"/>
    <w:rsid w:val="003716E3"/>
    <w:rsid w:val="00372F2E"/>
    <w:rsid w:val="00374DD0"/>
    <w:rsid w:val="00381082"/>
    <w:rsid w:val="00383F60"/>
    <w:rsid w:val="00390043"/>
    <w:rsid w:val="00391981"/>
    <w:rsid w:val="0039713C"/>
    <w:rsid w:val="00397A77"/>
    <w:rsid w:val="003A27EC"/>
    <w:rsid w:val="003B7AEE"/>
    <w:rsid w:val="003C2894"/>
    <w:rsid w:val="003C5E4F"/>
    <w:rsid w:val="003C5FEE"/>
    <w:rsid w:val="003D0C69"/>
    <w:rsid w:val="003E249D"/>
    <w:rsid w:val="003F04A2"/>
    <w:rsid w:val="003F6F4B"/>
    <w:rsid w:val="00402CCF"/>
    <w:rsid w:val="004038F3"/>
    <w:rsid w:val="00405393"/>
    <w:rsid w:val="00405791"/>
    <w:rsid w:val="004060FE"/>
    <w:rsid w:val="004068E3"/>
    <w:rsid w:val="00411E80"/>
    <w:rsid w:val="0041650B"/>
    <w:rsid w:val="004169ED"/>
    <w:rsid w:val="004200A7"/>
    <w:rsid w:val="00420801"/>
    <w:rsid w:val="00427896"/>
    <w:rsid w:val="00433453"/>
    <w:rsid w:val="00443433"/>
    <w:rsid w:val="00451751"/>
    <w:rsid w:val="00452484"/>
    <w:rsid w:val="004564D9"/>
    <w:rsid w:val="004574DD"/>
    <w:rsid w:val="00457593"/>
    <w:rsid w:val="00461CF1"/>
    <w:rsid w:val="00467E4E"/>
    <w:rsid w:val="004725FB"/>
    <w:rsid w:val="00481D0C"/>
    <w:rsid w:val="00482279"/>
    <w:rsid w:val="00494E7C"/>
    <w:rsid w:val="004A725E"/>
    <w:rsid w:val="004B1A5A"/>
    <w:rsid w:val="004B2B63"/>
    <w:rsid w:val="004B5F37"/>
    <w:rsid w:val="004C3180"/>
    <w:rsid w:val="004C521A"/>
    <w:rsid w:val="004D3F38"/>
    <w:rsid w:val="004F1EDD"/>
    <w:rsid w:val="004F2AFF"/>
    <w:rsid w:val="005033EC"/>
    <w:rsid w:val="0050530A"/>
    <w:rsid w:val="00505FF9"/>
    <w:rsid w:val="00514D1E"/>
    <w:rsid w:val="00514EE4"/>
    <w:rsid w:val="00516A83"/>
    <w:rsid w:val="00517B59"/>
    <w:rsid w:val="00517FAB"/>
    <w:rsid w:val="005241DD"/>
    <w:rsid w:val="005272E1"/>
    <w:rsid w:val="0053358B"/>
    <w:rsid w:val="00547A85"/>
    <w:rsid w:val="00550ED5"/>
    <w:rsid w:val="00552B30"/>
    <w:rsid w:val="005539F5"/>
    <w:rsid w:val="00557382"/>
    <w:rsid w:val="00561339"/>
    <w:rsid w:val="00584B2E"/>
    <w:rsid w:val="00584E7E"/>
    <w:rsid w:val="005869F9"/>
    <w:rsid w:val="005908F9"/>
    <w:rsid w:val="00592591"/>
    <w:rsid w:val="005C667D"/>
    <w:rsid w:val="005D27F0"/>
    <w:rsid w:val="005D34BC"/>
    <w:rsid w:val="005D71C0"/>
    <w:rsid w:val="005E70F7"/>
    <w:rsid w:val="005F2577"/>
    <w:rsid w:val="005F5FF1"/>
    <w:rsid w:val="0060011B"/>
    <w:rsid w:val="00602C0F"/>
    <w:rsid w:val="00606732"/>
    <w:rsid w:val="00607FBC"/>
    <w:rsid w:val="006124EF"/>
    <w:rsid w:val="00615791"/>
    <w:rsid w:val="006219F7"/>
    <w:rsid w:val="006220EF"/>
    <w:rsid w:val="00624654"/>
    <w:rsid w:val="0062505B"/>
    <w:rsid w:val="00630CEF"/>
    <w:rsid w:val="0063312A"/>
    <w:rsid w:val="00640954"/>
    <w:rsid w:val="00641201"/>
    <w:rsid w:val="006437D9"/>
    <w:rsid w:val="00645981"/>
    <w:rsid w:val="00645F8B"/>
    <w:rsid w:val="006647F6"/>
    <w:rsid w:val="0067078E"/>
    <w:rsid w:val="00671556"/>
    <w:rsid w:val="00676137"/>
    <w:rsid w:val="00682743"/>
    <w:rsid w:val="00682C45"/>
    <w:rsid w:val="00683F7F"/>
    <w:rsid w:val="00684EFB"/>
    <w:rsid w:val="00685DEA"/>
    <w:rsid w:val="006945AA"/>
    <w:rsid w:val="006950B2"/>
    <w:rsid w:val="006A2794"/>
    <w:rsid w:val="006A4AB5"/>
    <w:rsid w:val="006B60FC"/>
    <w:rsid w:val="006C2B80"/>
    <w:rsid w:val="006C5F40"/>
    <w:rsid w:val="006C662F"/>
    <w:rsid w:val="006F40FE"/>
    <w:rsid w:val="0070237A"/>
    <w:rsid w:val="00703C06"/>
    <w:rsid w:val="00705256"/>
    <w:rsid w:val="0071415A"/>
    <w:rsid w:val="00715340"/>
    <w:rsid w:val="0071635C"/>
    <w:rsid w:val="007176A1"/>
    <w:rsid w:val="00720F18"/>
    <w:rsid w:val="00727638"/>
    <w:rsid w:val="00734A2E"/>
    <w:rsid w:val="00736FB9"/>
    <w:rsid w:val="007503CC"/>
    <w:rsid w:val="00750BD1"/>
    <w:rsid w:val="0075457F"/>
    <w:rsid w:val="0076251F"/>
    <w:rsid w:val="00763610"/>
    <w:rsid w:val="00763D6E"/>
    <w:rsid w:val="00763E88"/>
    <w:rsid w:val="00767A77"/>
    <w:rsid w:val="00773712"/>
    <w:rsid w:val="0078705C"/>
    <w:rsid w:val="0078760A"/>
    <w:rsid w:val="007879E4"/>
    <w:rsid w:val="00793218"/>
    <w:rsid w:val="00795310"/>
    <w:rsid w:val="007A111A"/>
    <w:rsid w:val="007A26A6"/>
    <w:rsid w:val="007A596A"/>
    <w:rsid w:val="007B3E8B"/>
    <w:rsid w:val="007B59AC"/>
    <w:rsid w:val="007C2C53"/>
    <w:rsid w:val="007C492B"/>
    <w:rsid w:val="007C5C6A"/>
    <w:rsid w:val="007C79C3"/>
    <w:rsid w:val="007D0359"/>
    <w:rsid w:val="007D3441"/>
    <w:rsid w:val="007D45A5"/>
    <w:rsid w:val="007D767D"/>
    <w:rsid w:val="007D7AE5"/>
    <w:rsid w:val="007E0AA9"/>
    <w:rsid w:val="007F255F"/>
    <w:rsid w:val="007F525B"/>
    <w:rsid w:val="007F5E5E"/>
    <w:rsid w:val="00803B46"/>
    <w:rsid w:val="008153FD"/>
    <w:rsid w:val="00816584"/>
    <w:rsid w:val="00820452"/>
    <w:rsid w:val="008205A0"/>
    <w:rsid w:val="00827CC8"/>
    <w:rsid w:val="00830DB7"/>
    <w:rsid w:val="0083269D"/>
    <w:rsid w:val="008357DA"/>
    <w:rsid w:val="00835D22"/>
    <w:rsid w:val="0084497A"/>
    <w:rsid w:val="00845BEA"/>
    <w:rsid w:val="0084746D"/>
    <w:rsid w:val="0085592F"/>
    <w:rsid w:val="0085634F"/>
    <w:rsid w:val="0085735A"/>
    <w:rsid w:val="00862250"/>
    <w:rsid w:val="0086594A"/>
    <w:rsid w:val="0087738D"/>
    <w:rsid w:val="00887EF1"/>
    <w:rsid w:val="0089422E"/>
    <w:rsid w:val="00894247"/>
    <w:rsid w:val="008B078B"/>
    <w:rsid w:val="008B1C1F"/>
    <w:rsid w:val="008B4C6D"/>
    <w:rsid w:val="008C0110"/>
    <w:rsid w:val="008C55C4"/>
    <w:rsid w:val="008D4988"/>
    <w:rsid w:val="008D6D43"/>
    <w:rsid w:val="008E3E08"/>
    <w:rsid w:val="008E6E1B"/>
    <w:rsid w:val="00901FDB"/>
    <w:rsid w:val="00903227"/>
    <w:rsid w:val="00907D8C"/>
    <w:rsid w:val="009149E8"/>
    <w:rsid w:val="00915A52"/>
    <w:rsid w:val="009162D5"/>
    <w:rsid w:val="00931285"/>
    <w:rsid w:val="009320D6"/>
    <w:rsid w:val="0094332D"/>
    <w:rsid w:val="00945797"/>
    <w:rsid w:val="00950D51"/>
    <w:rsid w:val="0095770D"/>
    <w:rsid w:val="009640B8"/>
    <w:rsid w:val="0096410C"/>
    <w:rsid w:val="009649BD"/>
    <w:rsid w:val="00964B48"/>
    <w:rsid w:val="0096791D"/>
    <w:rsid w:val="00967C27"/>
    <w:rsid w:val="00970980"/>
    <w:rsid w:val="00971E17"/>
    <w:rsid w:val="009739CE"/>
    <w:rsid w:val="009804AD"/>
    <w:rsid w:val="00981D4B"/>
    <w:rsid w:val="009848A7"/>
    <w:rsid w:val="00985218"/>
    <w:rsid w:val="009C1CD5"/>
    <w:rsid w:val="009C3BAB"/>
    <w:rsid w:val="009D1E23"/>
    <w:rsid w:val="009D2EBD"/>
    <w:rsid w:val="009D473D"/>
    <w:rsid w:val="009D48EB"/>
    <w:rsid w:val="009D647F"/>
    <w:rsid w:val="009E118A"/>
    <w:rsid w:val="009E4B37"/>
    <w:rsid w:val="009F5055"/>
    <w:rsid w:val="009F6CF4"/>
    <w:rsid w:val="00A04626"/>
    <w:rsid w:val="00A1064C"/>
    <w:rsid w:val="00A10C81"/>
    <w:rsid w:val="00A13525"/>
    <w:rsid w:val="00A14BBE"/>
    <w:rsid w:val="00A1544A"/>
    <w:rsid w:val="00A168F8"/>
    <w:rsid w:val="00A16B92"/>
    <w:rsid w:val="00A1760C"/>
    <w:rsid w:val="00A20866"/>
    <w:rsid w:val="00A21B31"/>
    <w:rsid w:val="00A241BB"/>
    <w:rsid w:val="00A30951"/>
    <w:rsid w:val="00A32795"/>
    <w:rsid w:val="00A3396D"/>
    <w:rsid w:val="00A343DB"/>
    <w:rsid w:val="00A34577"/>
    <w:rsid w:val="00A421FE"/>
    <w:rsid w:val="00A437F6"/>
    <w:rsid w:val="00A44420"/>
    <w:rsid w:val="00A50080"/>
    <w:rsid w:val="00A50BA1"/>
    <w:rsid w:val="00A50BC6"/>
    <w:rsid w:val="00A53F08"/>
    <w:rsid w:val="00A65F87"/>
    <w:rsid w:val="00A70539"/>
    <w:rsid w:val="00A7397A"/>
    <w:rsid w:val="00A74CD0"/>
    <w:rsid w:val="00A7630B"/>
    <w:rsid w:val="00A80FFF"/>
    <w:rsid w:val="00A8614A"/>
    <w:rsid w:val="00A91E4C"/>
    <w:rsid w:val="00A92575"/>
    <w:rsid w:val="00AA1AAE"/>
    <w:rsid w:val="00AA256A"/>
    <w:rsid w:val="00AA62FA"/>
    <w:rsid w:val="00AA7800"/>
    <w:rsid w:val="00AA7DB6"/>
    <w:rsid w:val="00AB77CA"/>
    <w:rsid w:val="00AC5670"/>
    <w:rsid w:val="00AC6A3E"/>
    <w:rsid w:val="00AC715B"/>
    <w:rsid w:val="00AD1D62"/>
    <w:rsid w:val="00AD5A6F"/>
    <w:rsid w:val="00AF0A8D"/>
    <w:rsid w:val="00AF3ACD"/>
    <w:rsid w:val="00AF4EAA"/>
    <w:rsid w:val="00AF7DE6"/>
    <w:rsid w:val="00B00E58"/>
    <w:rsid w:val="00B0141C"/>
    <w:rsid w:val="00B01BD2"/>
    <w:rsid w:val="00B04226"/>
    <w:rsid w:val="00B07FE8"/>
    <w:rsid w:val="00B215A0"/>
    <w:rsid w:val="00B308D0"/>
    <w:rsid w:val="00B350A7"/>
    <w:rsid w:val="00B359FC"/>
    <w:rsid w:val="00B364E0"/>
    <w:rsid w:val="00B568C8"/>
    <w:rsid w:val="00B66327"/>
    <w:rsid w:val="00B72045"/>
    <w:rsid w:val="00B72C97"/>
    <w:rsid w:val="00B76104"/>
    <w:rsid w:val="00B767F8"/>
    <w:rsid w:val="00B81772"/>
    <w:rsid w:val="00B84BEC"/>
    <w:rsid w:val="00B86192"/>
    <w:rsid w:val="00B90730"/>
    <w:rsid w:val="00BA166D"/>
    <w:rsid w:val="00BB2A19"/>
    <w:rsid w:val="00BB4D34"/>
    <w:rsid w:val="00BC24CA"/>
    <w:rsid w:val="00BC3DC1"/>
    <w:rsid w:val="00BD1608"/>
    <w:rsid w:val="00BD3A16"/>
    <w:rsid w:val="00BE3AE9"/>
    <w:rsid w:val="00BE3E59"/>
    <w:rsid w:val="00BE6A9E"/>
    <w:rsid w:val="00BE7A7B"/>
    <w:rsid w:val="00BE7FF6"/>
    <w:rsid w:val="00BF2E26"/>
    <w:rsid w:val="00BF5086"/>
    <w:rsid w:val="00C0191E"/>
    <w:rsid w:val="00C06DF6"/>
    <w:rsid w:val="00C11455"/>
    <w:rsid w:val="00C1554C"/>
    <w:rsid w:val="00C22309"/>
    <w:rsid w:val="00C2355C"/>
    <w:rsid w:val="00C30F76"/>
    <w:rsid w:val="00C35A65"/>
    <w:rsid w:val="00C35D80"/>
    <w:rsid w:val="00C41C55"/>
    <w:rsid w:val="00C42CA3"/>
    <w:rsid w:val="00C72F22"/>
    <w:rsid w:val="00C825E2"/>
    <w:rsid w:val="00C843D2"/>
    <w:rsid w:val="00C86A01"/>
    <w:rsid w:val="00C86B2C"/>
    <w:rsid w:val="00C945B0"/>
    <w:rsid w:val="00C971E5"/>
    <w:rsid w:val="00CC23B8"/>
    <w:rsid w:val="00CC6A60"/>
    <w:rsid w:val="00CC7673"/>
    <w:rsid w:val="00CC7B3A"/>
    <w:rsid w:val="00CD17D1"/>
    <w:rsid w:val="00CE05BB"/>
    <w:rsid w:val="00CE3C16"/>
    <w:rsid w:val="00CE7550"/>
    <w:rsid w:val="00CF5B15"/>
    <w:rsid w:val="00D01698"/>
    <w:rsid w:val="00D04661"/>
    <w:rsid w:val="00D070A9"/>
    <w:rsid w:val="00D10437"/>
    <w:rsid w:val="00D12F0D"/>
    <w:rsid w:val="00D14AAA"/>
    <w:rsid w:val="00D20CAD"/>
    <w:rsid w:val="00D2144F"/>
    <w:rsid w:val="00D235EB"/>
    <w:rsid w:val="00D23636"/>
    <w:rsid w:val="00D23D7E"/>
    <w:rsid w:val="00D263EE"/>
    <w:rsid w:val="00D27CFE"/>
    <w:rsid w:val="00D36579"/>
    <w:rsid w:val="00D426AE"/>
    <w:rsid w:val="00D5024E"/>
    <w:rsid w:val="00D506C3"/>
    <w:rsid w:val="00D5195B"/>
    <w:rsid w:val="00D52F71"/>
    <w:rsid w:val="00D53B98"/>
    <w:rsid w:val="00D5445E"/>
    <w:rsid w:val="00D56BEB"/>
    <w:rsid w:val="00D57398"/>
    <w:rsid w:val="00D57CB8"/>
    <w:rsid w:val="00D64360"/>
    <w:rsid w:val="00D76F3C"/>
    <w:rsid w:val="00D867DC"/>
    <w:rsid w:val="00D9382D"/>
    <w:rsid w:val="00D959F5"/>
    <w:rsid w:val="00DA01E9"/>
    <w:rsid w:val="00DA05F1"/>
    <w:rsid w:val="00DA08BA"/>
    <w:rsid w:val="00DA0A67"/>
    <w:rsid w:val="00DA3656"/>
    <w:rsid w:val="00DB2D3B"/>
    <w:rsid w:val="00DB538A"/>
    <w:rsid w:val="00DB57B8"/>
    <w:rsid w:val="00DB7AA9"/>
    <w:rsid w:val="00DB7BB6"/>
    <w:rsid w:val="00DC22D4"/>
    <w:rsid w:val="00DC720F"/>
    <w:rsid w:val="00DD1A73"/>
    <w:rsid w:val="00DD7E25"/>
    <w:rsid w:val="00DE33A0"/>
    <w:rsid w:val="00DE676C"/>
    <w:rsid w:val="00DE766B"/>
    <w:rsid w:val="00DE7C67"/>
    <w:rsid w:val="00DF0A4D"/>
    <w:rsid w:val="00DF261D"/>
    <w:rsid w:val="00DF7992"/>
    <w:rsid w:val="00E03034"/>
    <w:rsid w:val="00E030CF"/>
    <w:rsid w:val="00E15473"/>
    <w:rsid w:val="00E171C8"/>
    <w:rsid w:val="00E204F6"/>
    <w:rsid w:val="00E23837"/>
    <w:rsid w:val="00E2435A"/>
    <w:rsid w:val="00E24D58"/>
    <w:rsid w:val="00E26A8C"/>
    <w:rsid w:val="00E27EE9"/>
    <w:rsid w:val="00E31954"/>
    <w:rsid w:val="00E34003"/>
    <w:rsid w:val="00E352E2"/>
    <w:rsid w:val="00E43668"/>
    <w:rsid w:val="00E470E8"/>
    <w:rsid w:val="00E479BD"/>
    <w:rsid w:val="00E50CCE"/>
    <w:rsid w:val="00E57986"/>
    <w:rsid w:val="00E60059"/>
    <w:rsid w:val="00E63C56"/>
    <w:rsid w:val="00E67D4E"/>
    <w:rsid w:val="00E74BDD"/>
    <w:rsid w:val="00E77252"/>
    <w:rsid w:val="00E775D6"/>
    <w:rsid w:val="00E809ED"/>
    <w:rsid w:val="00E85471"/>
    <w:rsid w:val="00E90DFB"/>
    <w:rsid w:val="00E94183"/>
    <w:rsid w:val="00E9424C"/>
    <w:rsid w:val="00E942BA"/>
    <w:rsid w:val="00EA04BC"/>
    <w:rsid w:val="00EA6860"/>
    <w:rsid w:val="00EB5441"/>
    <w:rsid w:val="00EC00FD"/>
    <w:rsid w:val="00EC0C9C"/>
    <w:rsid w:val="00ED479B"/>
    <w:rsid w:val="00ED58B2"/>
    <w:rsid w:val="00EE3E8B"/>
    <w:rsid w:val="00EF6C75"/>
    <w:rsid w:val="00F01483"/>
    <w:rsid w:val="00F02E86"/>
    <w:rsid w:val="00F062E0"/>
    <w:rsid w:val="00F10049"/>
    <w:rsid w:val="00F10F83"/>
    <w:rsid w:val="00F11887"/>
    <w:rsid w:val="00F13F54"/>
    <w:rsid w:val="00F20036"/>
    <w:rsid w:val="00F228F4"/>
    <w:rsid w:val="00F37796"/>
    <w:rsid w:val="00F40CB3"/>
    <w:rsid w:val="00F432E0"/>
    <w:rsid w:val="00F4457F"/>
    <w:rsid w:val="00F45247"/>
    <w:rsid w:val="00F45C46"/>
    <w:rsid w:val="00F46701"/>
    <w:rsid w:val="00F537AB"/>
    <w:rsid w:val="00F54FC2"/>
    <w:rsid w:val="00F55715"/>
    <w:rsid w:val="00F57EBD"/>
    <w:rsid w:val="00F6487F"/>
    <w:rsid w:val="00F71184"/>
    <w:rsid w:val="00F74EA9"/>
    <w:rsid w:val="00F80469"/>
    <w:rsid w:val="00F855E2"/>
    <w:rsid w:val="00F85E82"/>
    <w:rsid w:val="00F864C8"/>
    <w:rsid w:val="00F91BC6"/>
    <w:rsid w:val="00F947D1"/>
    <w:rsid w:val="00F958B8"/>
    <w:rsid w:val="00F969BF"/>
    <w:rsid w:val="00FA1D6F"/>
    <w:rsid w:val="00FA2645"/>
    <w:rsid w:val="00FB4DE1"/>
    <w:rsid w:val="00FC0ABE"/>
    <w:rsid w:val="00FC6859"/>
    <w:rsid w:val="00FD24B5"/>
    <w:rsid w:val="00FE0BC4"/>
    <w:rsid w:val="00FE686C"/>
    <w:rsid w:val="00FE7940"/>
    <w:rsid w:val="00FF5549"/>
    <w:rsid w:val="00FF583E"/>
    <w:rsid w:val="0D7F7522"/>
    <w:rsid w:val="0ED85457"/>
    <w:rsid w:val="16BFE9A1"/>
    <w:rsid w:val="17DC4B18"/>
    <w:rsid w:val="1BE80CE5"/>
    <w:rsid w:val="1DF3D8D5"/>
    <w:rsid w:val="1F7737D7"/>
    <w:rsid w:val="1F8F453D"/>
    <w:rsid w:val="1FBFDA93"/>
    <w:rsid w:val="1FE20792"/>
    <w:rsid w:val="1FE40BB3"/>
    <w:rsid w:val="27A7DBB0"/>
    <w:rsid w:val="28BF9A6D"/>
    <w:rsid w:val="2BFF1FD9"/>
    <w:rsid w:val="2DFDA217"/>
    <w:rsid w:val="2E4BA1EA"/>
    <w:rsid w:val="2EE36433"/>
    <w:rsid w:val="2EFF1F08"/>
    <w:rsid w:val="2F2D4D3C"/>
    <w:rsid w:val="2FADBCCC"/>
    <w:rsid w:val="30F0A826"/>
    <w:rsid w:val="33DFF143"/>
    <w:rsid w:val="359CA6F0"/>
    <w:rsid w:val="37F520A0"/>
    <w:rsid w:val="39E65243"/>
    <w:rsid w:val="39EF0C6B"/>
    <w:rsid w:val="3ABFEA28"/>
    <w:rsid w:val="3B7F9B4C"/>
    <w:rsid w:val="3BB3C280"/>
    <w:rsid w:val="3BBABF29"/>
    <w:rsid w:val="3BFA4BF9"/>
    <w:rsid w:val="3BFF7ED3"/>
    <w:rsid w:val="3C57D318"/>
    <w:rsid w:val="3CAE2C8A"/>
    <w:rsid w:val="3CFD1A32"/>
    <w:rsid w:val="3DEB68ED"/>
    <w:rsid w:val="3E2F2E6F"/>
    <w:rsid w:val="3ECF7B71"/>
    <w:rsid w:val="3EDB1F1A"/>
    <w:rsid w:val="3EFD2F66"/>
    <w:rsid w:val="3EFF1AAB"/>
    <w:rsid w:val="3EFF246D"/>
    <w:rsid w:val="3F046160"/>
    <w:rsid w:val="3F3BE672"/>
    <w:rsid w:val="3F7F72CB"/>
    <w:rsid w:val="3FDCEE22"/>
    <w:rsid w:val="3FDFBED6"/>
    <w:rsid w:val="3FEB5CE0"/>
    <w:rsid w:val="3FEFA761"/>
    <w:rsid w:val="3FF99988"/>
    <w:rsid w:val="3FFEFCF0"/>
    <w:rsid w:val="442927EA"/>
    <w:rsid w:val="463E01CD"/>
    <w:rsid w:val="497BF9B9"/>
    <w:rsid w:val="49FF968D"/>
    <w:rsid w:val="4BF6787A"/>
    <w:rsid w:val="4DB711F1"/>
    <w:rsid w:val="4F5F1C1A"/>
    <w:rsid w:val="4FC599BB"/>
    <w:rsid w:val="4FEFD990"/>
    <w:rsid w:val="4FFFDEF5"/>
    <w:rsid w:val="535F01C3"/>
    <w:rsid w:val="53F76D9D"/>
    <w:rsid w:val="54F6B345"/>
    <w:rsid w:val="557566EC"/>
    <w:rsid w:val="56BD81A2"/>
    <w:rsid w:val="576CC639"/>
    <w:rsid w:val="57768947"/>
    <w:rsid w:val="577DE489"/>
    <w:rsid w:val="57F54F0D"/>
    <w:rsid w:val="57F6F74F"/>
    <w:rsid w:val="57F78CD8"/>
    <w:rsid w:val="57F91B99"/>
    <w:rsid w:val="597A7E76"/>
    <w:rsid w:val="59FDE916"/>
    <w:rsid w:val="5A76EBEA"/>
    <w:rsid w:val="5BD6D58A"/>
    <w:rsid w:val="5BEB4A44"/>
    <w:rsid w:val="5BF37F1F"/>
    <w:rsid w:val="5CEF89B5"/>
    <w:rsid w:val="5D7F8D25"/>
    <w:rsid w:val="5DAE241E"/>
    <w:rsid w:val="5DAF70F8"/>
    <w:rsid w:val="5DFBF6AB"/>
    <w:rsid w:val="5EFBFD94"/>
    <w:rsid w:val="5EFF155A"/>
    <w:rsid w:val="5F5FB085"/>
    <w:rsid w:val="5F63E6A9"/>
    <w:rsid w:val="5F79923B"/>
    <w:rsid w:val="5F7CB1D5"/>
    <w:rsid w:val="5FBDFE7D"/>
    <w:rsid w:val="5FBF39FA"/>
    <w:rsid w:val="5FC68743"/>
    <w:rsid w:val="5FDEDA36"/>
    <w:rsid w:val="5FDFC366"/>
    <w:rsid w:val="5FEF0FBC"/>
    <w:rsid w:val="5FFB8523"/>
    <w:rsid w:val="5FFEE800"/>
    <w:rsid w:val="5FFF2D93"/>
    <w:rsid w:val="63EFDFE7"/>
    <w:rsid w:val="65BDCD78"/>
    <w:rsid w:val="66F373FA"/>
    <w:rsid w:val="676BE636"/>
    <w:rsid w:val="677FB858"/>
    <w:rsid w:val="67BF8976"/>
    <w:rsid w:val="67E7D20E"/>
    <w:rsid w:val="67FF6490"/>
    <w:rsid w:val="6AD15A4F"/>
    <w:rsid w:val="6B3E608D"/>
    <w:rsid w:val="6B77B0AF"/>
    <w:rsid w:val="6BBDEB62"/>
    <w:rsid w:val="6BFF7E66"/>
    <w:rsid w:val="6C0DCC23"/>
    <w:rsid w:val="6CEB1084"/>
    <w:rsid w:val="6DBBE532"/>
    <w:rsid w:val="6DBF0AB0"/>
    <w:rsid w:val="6DCE326B"/>
    <w:rsid w:val="6DE52B76"/>
    <w:rsid w:val="6DFF7184"/>
    <w:rsid w:val="6E3DAE35"/>
    <w:rsid w:val="6EECFEB9"/>
    <w:rsid w:val="6FA7F43D"/>
    <w:rsid w:val="6FBB581E"/>
    <w:rsid w:val="6FD79BF7"/>
    <w:rsid w:val="6FE6AF72"/>
    <w:rsid w:val="6FEB916E"/>
    <w:rsid w:val="6FF760B5"/>
    <w:rsid w:val="6FF7F856"/>
    <w:rsid w:val="6FFC96CB"/>
    <w:rsid w:val="6FFFE7DA"/>
    <w:rsid w:val="71B370AC"/>
    <w:rsid w:val="71FD2C50"/>
    <w:rsid w:val="726E496D"/>
    <w:rsid w:val="72FEA680"/>
    <w:rsid w:val="73EE24BE"/>
    <w:rsid w:val="73FB2833"/>
    <w:rsid w:val="743E4937"/>
    <w:rsid w:val="755F85A9"/>
    <w:rsid w:val="757F963D"/>
    <w:rsid w:val="75EF9352"/>
    <w:rsid w:val="75FA0366"/>
    <w:rsid w:val="76FF3275"/>
    <w:rsid w:val="76FF9FF6"/>
    <w:rsid w:val="76FFB6ED"/>
    <w:rsid w:val="76FFEA25"/>
    <w:rsid w:val="775E6560"/>
    <w:rsid w:val="7777EED4"/>
    <w:rsid w:val="77799186"/>
    <w:rsid w:val="777D4CAA"/>
    <w:rsid w:val="777EDB90"/>
    <w:rsid w:val="77B0E050"/>
    <w:rsid w:val="77BC4250"/>
    <w:rsid w:val="77BD1B5B"/>
    <w:rsid w:val="77ED5E50"/>
    <w:rsid w:val="77FD5AC2"/>
    <w:rsid w:val="77FF5DC4"/>
    <w:rsid w:val="785A9673"/>
    <w:rsid w:val="799F44AF"/>
    <w:rsid w:val="79BB75FA"/>
    <w:rsid w:val="79DDD7A2"/>
    <w:rsid w:val="79FF3AF1"/>
    <w:rsid w:val="7A15E20A"/>
    <w:rsid w:val="7A2DA26C"/>
    <w:rsid w:val="7AFF4B2A"/>
    <w:rsid w:val="7B7F0E4B"/>
    <w:rsid w:val="7B7F6323"/>
    <w:rsid w:val="7B9E40F5"/>
    <w:rsid w:val="7BADA388"/>
    <w:rsid w:val="7BBD0635"/>
    <w:rsid w:val="7BD57B54"/>
    <w:rsid w:val="7BE75193"/>
    <w:rsid w:val="7BEFE547"/>
    <w:rsid w:val="7BF2B1A2"/>
    <w:rsid w:val="7C6D777D"/>
    <w:rsid w:val="7CF76A12"/>
    <w:rsid w:val="7CFF720F"/>
    <w:rsid w:val="7D0F241C"/>
    <w:rsid w:val="7D3F0FA2"/>
    <w:rsid w:val="7D6D6088"/>
    <w:rsid w:val="7D6F6E73"/>
    <w:rsid w:val="7D7F6D52"/>
    <w:rsid w:val="7DBDEC79"/>
    <w:rsid w:val="7DBEDBEE"/>
    <w:rsid w:val="7DBFEA92"/>
    <w:rsid w:val="7DCBA59D"/>
    <w:rsid w:val="7DDC7DA1"/>
    <w:rsid w:val="7DE7E071"/>
    <w:rsid w:val="7DFFBA19"/>
    <w:rsid w:val="7E2E42F2"/>
    <w:rsid w:val="7E5B48D8"/>
    <w:rsid w:val="7E5D0BEF"/>
    <w:rsid w:val="7E5D7B6C"/>
    <w:rsid w:val="7EE1D90C"/>
    <w:rsid w:val="7EEB45C0"/>
    <w:rsid w:val="7EEFE885"/>
    <w:rsid w:val="7EF75DB5"/>
    <w:rsid w:val="7EFF7879"/>
    <w:rsid w:val="7EFF8243"/>
    <w:rsid w:val="7F3CA3F3"/>
    <w:rsid w:val="7F54C73F"/>
    <w:rsid w:val="7F716A91"/>
    <w:rsid w:val="7F77F71A"/>
    <w:rsid w:val="7F7A25DB"/>
    <w:rsid w:val="7F7B7CF3"/>
    <w:rsid w:val="7F7F0169"/>
    <w:rsid w:val="7F7F99FD"/>
    <w:rsid w:val="7F8DB5FA"/>
    <w:rsid w:val="7FAF1BB0"/>
    <w:rsid w:val="7FB94A44"/>
    <w:rsid w:val="7FBBD39D"/>
    <w:rsid w:val="7FBDAD0B"/>
    <w:rsid w:val="7FBFAD3B"/>
    <w:rsid w:val="7FBFB313"/>
    <w:rsid w:val="7FCF07C3"/>
    <w:rsid w:val="7FCFFBCE"/>
    <w:rsid w:val="7FDE2C97"/>
    <w:rsid w:val="7FE51343"/>
    <w:rsid w:val="7FE68F99"/>
    <w:rsid w:val="7FEE9CB4"/>
    <w:rsid w:val="7FEEBA6A"/>
    <w:rsid w:val="7FF946B2"/>
    <w:rsid w:val="7FFC0A1C"/>
    <w:rsid w:val="7FFDFF25"/>
    <w:rsid w:val="7FFF380A"/>
    <w:rsid w:val="86F60775"/>
    <w:rsid w:val="8EBF825B"/>
    <w:rsid w:val="8F44C070"/>
    <w:rsid w:val="9AFC23FB"/>
    <w:rsid w:val="9BB77DDD"/>
    <w:rsid w:val="9BDEC5F2"/>
    <w:rsid w:val="9DFE7ADA"/>
    <w:rsid w:val="9E7578D9"/>
    <w:rsid w:val="9E976D62"/>
    <w:rsid w:val="9FB0EC83"/>
    <w:rsid w:val="9FFB7590"/>
    <w:rsid w:val="A1E5DC2F"/>
    <w:rsid w:val="A5BFFF3D"/>
    <w:rsid w:val="A6FEEBA0"/>
    <w:rsid w:val="A77F0B36"/>
    <w:rsid w:val="A9BBD41D"/>
    <w:rsid w:val="ABFF5158"/>
    <w:rsid w:val="B3BE6D84"/>
    <w:rsid w:val="B4FFA672"/>
    <w:rsid w:val="B51D1F34"/>
    <w:rsid w:val="B57EFEB3"/>
    <w:rsid w:val="B696F6FF"/>
    <w:rsid w:val="B6FD92F2"/>
    <w:rsid w:val="B6FFED21"/>
    <w:rsid w:val="B7BF270D"/>
    <w:rsid w:val="B7DECEDC"/>
    <w:rsid w:val="B7F6A48F"/>
    <w:rsid w:val="B7FFC05B"/>
    <w:rsid w:val="B7FFFA97"/>
    <w:rsid w:val="B83A523E"/>
    <w:rsid w:val="BBFF3262"/>
    <w:rsid w:val="BCFFCA44"/>
    <w:rsid w:val="BD7DA1CC"/>
    <w:rsid w:val="BDF5BB8D"/>
    <w:rsid w:val="BE7BEB79"/>
    <w:rsid w:val="BEAF4217"/>
    <w:rsid w:val="BEDB755A"/>
    <w:rsid w:val="BF3A32A6"/>
    <w:rsid w:val="BF7E2038"/>
    <w:rsid w:val="BF7F7F6F"/>
    <w:rsid w:val="BF8F60AC"/>
    <w:rsid w:val="BFAEEF8F"/>
    <w:rsid w:val="BFB9BDD0"/>
    <w:rsid w:val="BFBF11FE"/>
    <w:rsid w:val="BFBF2B93"/>
    <w:rsid w:val="BFBFA400"/>
    <w:rsid w:val="BFD6C436"/>
    <w:rsid w:val="BFDF04DE"/>
    <w:rsid w:val="BFDFE3DC"/>
    <w:rsid w:val="BFF7CC63"/>
    <w:rsid w:val="BFFFD467"/>
    <w:rsid w:val="C3FDF478"/>
    <w:rsid w:val="C4F5FD99"/>
    <w:rsid w:val="C69F157C"/>
    <w:rsid w:val="C737209E"/>
    <w:rsid w:val="C7FF1B21"/>
    <w:rsid w:val="CBBF4633"/>
    <w:rsid w:val="CCC574AB"/>
    <w:rsid w:val="CCCE5372"/>
    <w:rsid w:val="CCED16BD"/>
    <w:rsid w:val="CDFF2548"/>
    <w:rsid w:val="CE7F1A69"/>
    <w:rsid w:val="CE7F2256"/>
    <w:rsid w:val="CF2565A4"/>
    <w:rsid w:val="CFD72AEA"/>
    <w:rsid w:val="D0EB7ED5"/>
    <w:rsid w:val="D3BF14CD"/>
    <w:rsid w:val="D3D7B14C"/>
    <w:rsid w:val="D47DE3B9"/>
    <w:rsid w:val="D58503D9"/>
    <w:rsid w:val="D5CF7A41"/>
    <w:rsid w:val="D6ED5926"/>
    <w:rsid w:val="D6EE5B20"/>
    <w:rsid w:val="D77F35DA"/>
    <w:rsid w:val="D7D32002"/>
    <w:rsid w:val="D7D66D52"/>
    <w:rsid w:val="D7D6AA84"/>
    <w:rsid w:val="D7EDCBF3"/>
    <w:rsid w:val="D7EF6A20"/>
    <w:rsid w:val="D7FBA73E"/>
    <w:rsid w:val="D7FF0DCE"/>
    <w:rsid w:val="D97733A4"/>
    <w:rsid w:val="D9D53876"/>
    <w:rsid w:val="D9FF1B76"/>
    <w:rsid w:val="D9FFA8B7"/>
    <w:rsid w:val="DAD7182E"/>
    <w:rsid w:val="DB6D75EB"/>
    <w:rsid w:val="DB77E02D"/>
    <w:rsid w:val="DB7A12CF"/>
    <w:rsid w:val="DBF473CD"/>
    <w:rsid w:val="DBFB5E30"/>
    <w:rsid w:val="DBFD73B0"/>
    <w:rsid w:val="DCBB8DEA"/>
    <w:rsid w:val="DDBBB6A1"/>
    <w:rsid w:val="DDDF8800"/>
    <w:rsid w:val="DDFB75B4"/>
    <w:rsid w:val="DEEFD7A6"/>
    <w:rsid w:val="DEF3D1CA"/>
    <w:rsid w:val="DEFFFCF1"/>
    <w:rsid w:val="DF0E3420"/>
    <w:rsid w:val="DF1FD389"/>
    <w:rsid w:val="DF37EF3F"/>
    <w:rsid w:val="DF7BB684"/>
    <w:rsid w:val="DF81C8EE"/>
    <w:rsid w:val="DF8EAD4B"/>
    <w:rsid w:val="DFBAE0F8"/>
    <w:rsid w:val="DFBC283F"/>
    <w:rsid w:val="DFCB33C2"/>
    <w:rsid w:val="DFE70BB8"/>
    <w:rsid w:val="DFFFC505"/>
    <w:rsid w:val="E3FBD76A"/>
    <w:rsid w:val="E6E79F54"/>
    <w:rsid w:val="E7FB8EB4"/>
    <w:rsid w:val="E863062E"/>
    <w:rsid w:val="EA9A82CA"/>
    <w:rsid w:val="EAB8858D"/>
    <w:rsid w:val="EB2D1C29"/>
    <w:rsid w:val="EBBB05D0"/>
    <w:rsid w:val="EC9D6F3C"/>
    <w:rsid w:val="ECF3CFD2"/>
    <w:rsid w:val="ED551FCF"/>
    <w:rsid w:val="ED5F4117"/>
    <w:rsid w:val="EDB7B7E1"/>
    <w:rsid w:val="EEDAB653"/>
    <w:rsid w:val="EEF29C31"/>
    <w:rsid w:val="EEFF7CD9"/>
    <w:rsid w:val="EF6FD4CA"/>
    <w:rsid w:val="EF7BAB7E"/>
    <w:rsid w:val="EFBD8E4B"/>
    <w:rsid w:val="EFBF0BB4"/>
    <w:rsid w:val="EFBF35BE"/>
    <w:rsid w:val="EFBFF387"/>
    <w:rsid w:val="EFDD2890"/>
    <w:rsid w:val="EFDFB640"/>
    <w:rsid w:val="EFF98C94"/>
    <w:rsid w:val="EFFADF1B"/>
    <w:rsid w:val="EFFE1E1B"/>
    <w:rsid w:val="EFFF228C"/>
    <w:rsid w:val="F05BBDD5"/>
    <w:rsid w:val="F154D80E"/>
    <w:rsid w:val="F18D23C9"/>
    <w:rsid w:val="F2BD18D5"/>
    <w:rsid w:val="F2F74AFA"/>
    <w:rsid w:val="F37F72EA"/>
    <w:rsid w:val="F3FBF939"/>
    <w:rsid w:val="F3FDE320"/>
    <w:rsid w:val="F5BF1732"/>
    <w:rsid w:val="F62CDC5B"/>
    <w:rsid w:val="F6F7A091"/>
    <w:rsid w:val="F6FD75F5"/>
    <w:rsid w:val="F753F414"/>
    <w:rsid w:val="F757F7BE"/>
    <w:rsid w:val="F75F9E7C"/>
    <w:rsid w:val="F7767C61"/>
    <w:rsid w:val="F7AAD4CA"/>
    <w:rsid w:val="F7CD4A96"/>
    <w:rsid w:val="F7D956CE"/>
    <w:rsid w:val="F7DDDAC7"/>
    <w:rsid w:val="F7E71AA8"/>
    <w:rsid w:val="F7EA0FDE"/>
    <w:rsid w:val="F7F71F9D"/>
    <w:rsid w:val="F7FF11BE"/>
    <w:rsid w:val="F7FF6B14"/>
    <w:rsid w:val="F966F044"/>
    <w:rsid w:val="F9EEE083"/>
    <w:rsid w:val="FA737484"/>
    <w:rsid w:val="FABE15A6"/>
    <w:rsid w:val="FAEE5311"/>
    <w:rsid w:val="FAEFD92A"/>
    <w:rsid w:val="FAFBD161"/>
    <w:rsid w:val="FB55AEB4"/>
    <w:rsid w:val="FB7FC6F6"/>
    <w:rsid w:val="FBBEAAB5"/>
    <w:rsid w:val="FBBFD3A1"/>
    <w:rsid w:val="FBDD7CB2"/>
    <w:rsid w:val="FBF1C1B0"/>
    <w:rsid w:val="FBFFD320"/>
    <w:rsid w:val="FC3F8872"/>
    <w:rsid w:val="FCEFDBF9"/>
    <w:rsid w:val="FCF9F658"/>
    <w:rsid w:val="FCFF8C84"/>
    <w:rsid w:val="FCFFD928"/>
    <w:rsid w:val="FD3CA037"/>
    <w:rsid w:val="FD5FED4F"/>
    <w:rsid w:val="FD6F7F7A"/>
    <w:rsid w:val="FD7F2107"/>
    <w:rsid w:val="FD9FD032"/>
    <w:rsid w:val="FDB7CF49"/>
    <w:rsid w:val="FDDCFBD2"/>
    <w:rsid w:val="FDEF28DF"/>
    <w:rsid w:val="FDEF75E5"/>
    <w:rsid w:val="FDFA81F7"/>
    <w:rsid w:val="FDFB8017"/>
    <w:rsid w:val="FDFFE004"/>
    <w:rsid w:val="FE3D07D1"/>
    <w:rsid w:val="FE6711EA"/>
    <w:rsid w:val="FE76B307"/>
    <w:rsid w:val="FE9DB1C8"/>
    <w:rsid w:val="FEBD3B45"/>
    <w:rsid w:val="FED7947B"/>
    <w:rsid w:val="FEFADD7A"/>
    <w:rsid w:val="FEFD0E15"/>
    <w:rsid w:val="FEFF4594"/>
    <w:rsid w:val="FF1F446E"/>
    <w:rsid w:val="FF23C156"/>
    <w:rsid w:val="FF3B05A1"/>
    <w:rsid w:val="FF5DB761"/>
    <w:rsid w:val="FF5E53B7"/>
    <w:rsid w:val="FF6D6EBE"/>
    <w:rsid w:val="FF6F77E9"/>
    <w:rsid w:val="FF761DA3"/>
    <w:rsid w:val="FF7CD2EF"/>
    <w:rsid w:val="FF7F5E03"/>
    <w:rsid w:val="FF7FEEBD"/>
    <w:rsid w:val="FF9A1B3F"/>
    <w:rsid w:val="FF9C29A3"/>
    <w:rsid w:val="FFAE1FBC"/>
    <w:rsid w:val="FFAF8703"/>
    <w:rsid w:val="FFB6A638"/>
    <w:rsid w:val="FFBE4794"/>
    <w:rsid w:val="FFC74536"/>
    <w:rsid w:val="FFCF1EEC"/>
    <w:rsid w:val="FFCF4677"/>
    <w:rsid w:val="FFD339CA"/>
    <w:rsid w:val="FFEE1BAB"/>
    <w:rsid w:val="FFEF65A4"/>
    <w:rsid w:val="FFEF91AF"/>
    <w:rsid w:val="FFF3FF6C"/>
    <w:rsid w:val="FFF9CAF9"/>
    <w:rsid w:val="FFFB5D57"/>
    <w:rsid w:val="FFFBCBE6"/>
    <w:rsid w:val="FFFDB134"/>
    <w:rsid w:val="FFFE4277"/>
    <w:rsid w:val="FFFF1603"/>
    <w:rsid w:val="FFFFAF90"/>
    <w:rsid w:val="FFFFD488"/>
    <w:rsid w:val="FFFFEC6C"/>
    <w:rsid w:val="FFFFF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val="0"/>
      <w:autoSpaceDE w:val="0"/>
      <w:autoSpaceDN w:val="0"/>
      <w:adjustRightInd w:val="0"/>
      <w:snapToGrid w:val="0"/>
      <w:spacing w:line="579" w:lineRule="exact"/>
      <w:ind w:firstLine="200" w:firstLineChars="200"/>
      <w:jc w:val="both"/>
      <w:textAlignment w:val="baseline"/>
    </w:pPr>
    <w:rPr>
      <w:rFonts w:ascii="Arial" w:hAnsi="Arial" w:eastAsia="仿宋" w:cs="Arial"/>
      <w:snapToGrid w:val="0"/>
      <w:color w:val="000000"/>
      <w:sz w:val="32"/>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3">
    <w:name w:val="annotation text"/>
    <w:basedOn w:val="1"/>
    <w:link w:val="22"/>
    <w:semiHidden/>
    <w:unhideWhenUsed/>
    <w:qFormat/>
    <w:uiPriority w:val="99"/>
    <w:pPr>
      <w:jc w:val="left"/>
    </w:pPr>
  </w:style>
  <w:style w:type="paragraph" w:styleId="4">
    <w:name w:val="Body Text"/>
    <w:basedOn w:val="1"/>
    <w:semiHidden/>
    <w:qFormat/>
    <w:uiPriority w:val="0"/>
    <w:rPr>
      <w:rFonts w:eastAsia="Arial"/>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annotation subject"/>
    <w:basedOn w:val="3"/>
    <w:next w:val="3"/>
    <w:link w:val="23"/>
    <w:semiHidden/>
    <w:unhideWhenUsed/>
    <w:qFormat/>
    <w:uiPriority w:val="99"/>
    <w:rPr>
      <w:b/>
      <w:bCs/>
    </w:rPr>
  </w:style>
  <w:style w:type="character" w:styleId="11">
    <w:name w:val="annotation reference"/>
    <w:basedOn w:val="10"/>
    <w:semiHidden/>
    <w:unhideWhenUsed/>
    <w:qFormat/>
    <w:uiPriority w:val="99"/>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批注框文本 Char"/>
    <w:basedOn w:val="10"/>
    <w:link w:val="5"/>
    <w:semiHidden/>
    <w:qFormat/>
    <w:uiPriority w:val="99"/>
    <w:rPr>
      <w:sz w:val="18"/>
      <w:szCs w:val="18"/>
    </w:rPr>
  </w:style>
  <w:style w:type="paragraph" w:customStyle="1" w:styleId="16">
    <w:name w:val="公文题头"/>
    <w:basedOn w:val="1"/>
    <w:link w:val="17"/>
    <w:qFormat/>
    <w:uiPriority w:val="0"/>
    <w:pPr>
      <w:spacing w:before="101" w:line="309" w:lineRule="auto"/>
      <w:ind w:right="61" w:firstLine="634"/>
    </w:pPr>
    <w:rPr>
      <w:rFonts w:ascii="黑体" w:hAnsi="黑体" w:eastAsia="黑体" w:cs="黑体"/>
      <w:b/>
      <w:bCs/>
      <w:spacing w:val="10"/>
      <w:sz w:val="31"/>
      <w:szCs w:val="31"/>
      <w:lang w:eastAsia="zh-CN"/>
    </w:rPr>
  </w:style>
  <w:style w:type="character" w:customStyle="1" w:styleId="17">
    <w:name w:val="公文题头 Char"/>
    <w:basedOn w:val="10"/>
    <w:link w:val="16"/>
    <w:qFormat/>
    <w:uiPriority w:val="0"/>
    <w:rPr>
      <w:rFonts w:ascii="黑体" w:hAnsi="黑体" w:eastAsia="黑体" w:cs="黑体"/>
      <w:b/>
      <w:bCs/>
      <w:snapToGrid w:val="0"/>
      <w:color w:val="000000"/>
      <w:spacing w:val="10"/>
      <w:sz w:val="31"/>
      <w:szCs w:val="31"/>
    </w:rPr>
  </w:style>
  <w:style w:type="paragraph" w:customStyle="1" w:styleId="18">
    <w:name w:val="修订1"/>
    <w:hidden/>
    <w:semiHidden/>
    <w:qFormat/>
    <w:uiPriority w:val="99"/>
    <w:rPr>
      <w:rFonts w:ascii="Arial" w:hAnsi="Arial" w:cs="Arial" w:eastAsiaTheme="minorEastAsia"/>
      <w:snapToGrid w:val="0"/>
      <w:color w:val="000000"/>
      <w:sz w:val="21"/>
      <w:szCs w:val="21"/>
      <w:lang w:val="en-US" w:eastAsia="en-US" w:bidi="ar-SA"/>
    </w:rPr>
  </w:style>
  <w:style w:type="paragraph" w:styleId="19">
    <w:name w:val="List Paragraph"/>
    <w:basedOn w:val="1"/>
    <w:qFormat/>
    <w:uiPriority w:val="99"/>
    <w:pPr>
      <w:ind w:firstLine="420"/>
    </w:pPr>
  </w:style>
  <w:style w:type="paragraph" w:customStyle="1" w:styleId="20">
    <w:name w:val="样式1"/>
    <w:basedOn w:val="21"/>
    <w:qFormat/>
    <w:uiPriority w:val="0"/>
    <w:pPr>
      <w:kinsoku/>
      <w:autoSpaceDE/>
      <w:autoSpaceDN/>
      <w:adjustRightInd/>
      <w:snapToGrid/>
      <w:ind w:firstLine="640"/>
      <w:textAlignment w:val="auto"/>
    </w:pPr>
    <w:rPr>
      <w:rFonts w:ascii="Calibri" w:hAnsi="Calibri" w:cs="Times New Roman"/>
      <w:snapToGrid/>
      <w:color w:val="auto"/>
      <w:kern w:val="2"/>
      <w:lang w:eastAsia="zh-CN"/>
    </w:rPr>
  </w:style>
  <w:style w:type="paragraph" w:customStyle="1" w:styleId="21">
    <w:name w:val="正文1"/>
    <w:basedOn w:val="1"/>
    <w:qFormat/>
    <w:uiPriority w:val="0"/>
    <w:pPr>
      <w:ind w:firstLine="708" w:firstLineChars="236"/>
    </w:pPr>
    <w:rPr>
      <w:rFonts w:ascii="仿宋_GB2312" w:eastAsia="仿宋_GB2312" w:cs="仿宋_GB2312"/>
      <w:sz w:val="30"/>
      <w:szCs w:val="30"/>
    </w:rPr>
  </w:style>
  <w:style w:type="character" w:customStyle="1" w:styleId="22">
    <w:name w:val="批注文字 Char"/>
    <w:basedOn w:val="10"/>
    <w:link w:val="3"/>
    <w:semiHidden/>
    <w:qFormat/>
    <w:uiPriority w:val="99"/>
    <w:rPr>
      <w:rFonts w:eastAsia="仿宋"/>
      <w:snapToGrid w:val="0"/>
      <w:color w:val="000000"/>
      <w:sz w:val="32"/>
      <w:szCs w:val="21"/>
      <w:lang w:eastAsia="en-US"/>
    </w:rPr>
  </w:style>
  <w:style w:type="character" w:customStyle="1" w:styleId="23">
    <w:name w:val="批注主题 Char"/>
    <w:basedOn w:val="22"/>
    <w:link w:val="8"/>
    <w:semiHidden/>
    <w:qFormat/>
    <w:uiPriority w:val="99"/>
    <w:rPr>
      <w:rFonts w:eastAsia="仿宋"/>
      <w:b/>
      <w:bCs/>
      <w:snapToGrid w:val="0"/>
      <w:color w:val="000000"/>
      <w:sz w:val="32"/>
      <w:szCs w:val="21"/>
      <w:lang w:eastAsia="en-US"/>
    </w:rPr>
  </w:style>
  <w:style w:type="paragraph" w:customStyle="1" w:styleId="24">
    <w:name w:val="修订2"/>
    <w:hidden/>
    <w:unhideWhenUsed/>
    <w:qFormat/>
    <w:uiPriority w:val="99"/>
    <w:rPr>
      <w:rFonts w:ascii="Arial" w:hAnsi="Arial" w:eastAsia="仿宋" w:cs="Arial"/>
      <w:snapToGrid w:val="0"/>
      <w:color w:val="000000"/>
      <w:sz w:val="32"/>
      <w:szCs w:val="21"/>
      <w:lang w:val="en-US" w:eastAsia="en-US" w:bidi="ar-SA"/>
    </w:rPr>
  </w:style>
  <w:style w:type="paragraph" w:customStyle="1" w:styleId="25">
    <w:name w:val="Revision"/>
    <w:hidden/>
    <w:semiHidden/>
    <w:qFormat/>
    <w:uiPriority w:val="99"/>
    <w:rPr>
      <w:rFonts w:ascii="Arial" w:hAnsi="Arial" w:eastAsia="仿宋" w:cs="Arial"/>
      <w:snapToGrid w:val="0"/>
      <w:color w:val="000000"/>
      <w:sz w:val="32"/>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16295</Words>
  <Characters>16455</Characters>
  <Lines>119</Lines>
  <Paragraphs>33</Paragraphs>
  <TotalTime>29</TotalTime>
  <ScaleCrop>false</ScaleCrop>
  <LinksUpToDate>false</LinksUpToDate>
  <CharactersWithSpaces>16657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2026-01-28T19:35:00Z</dcterms:created>
  <dc:creator>薛涵予</dc:creator>
  <cp:lastModifiedBy>保护我方李jl</cp:lastModifiedBy>
  <cp:lastPrinted>2026-01-28T23:21:00Z</cp:lastPrinted>
  <dcterms:modified xsi:type="dcterms:W3CDTF">2026-03-02T10:58:13Z</dcterms:modified>
  <dc:title>珠海市公共租赁住房管理办法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2025-05-07T16:52:55Z</vt:filetime>
  </property>
  <property fmtid="{D5CDD505-2E9C-101B-9397-08002B2CF9AE}" pid="4" name="UsrData">
    <vt:lpwstr>681b1f63bfc444001f0dc50dwl</vt:lpwstr>
  </property>
  <property fmtid="{D5CDD505-2E9C-101B-9397-08002B2CF9AE}" pid="5" name="KSOTemplateDocerSaveRecord">
    <vt:lpwstr>eyJoZGlkIjoiNzM4NWQxNGI2NGExODE1MTVjZjcxODllY2Y3NmZmNWEifQ==</vt:lpwstr>
  </property>
  <property fmtid="{D5CDD505-2E9C-101B-9397-08002B2CF9AE}" pid="6" name="KSOProductBuildVer">
    <vt:lpwstr>2052-12.1.0.25225</vt:lpwstr>
  </property>
  <property fmtid="{D5CDD505-2E9C-101B-9397-08002B2CF9AE}" pid="7" name="ICV">
    <vt:lpwstr>83B36CB4DD38441F8C9E5492EEE1369B_13</vt:lpwstr>
  </property>
</Properties>
</file>