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left"/>
        <w:outlineLvl w:val="0"/>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val="0"/>
        <w:spacing w:before="320" w:beforeLines="100" w:line="552"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2024年珠海市家装家居“</w:t>
      </w:r>
      <w:r>
        <w:rPr>
          <w:rFonts w:hint="eastAsia" w:ascii="方正小标宋简体" w:hAnsi="方正小标宋简体" w:eastAsia="方正小标宋简体" w:cs="方正小标宋简体"/>
          <w:sz w:val="44"/>
          <w:szCs w:val="44"/>
          <w:lang w:val="en-US" w:eastAsia="zh-CN"/>
        </w:rPr>
        <w:t>焕</w:t>
      </w:r>
      <w:r>
        <w:rPr>
          <w:rFonts w:hint="eastAsia" w:ascii="方正小标宋简体" w:hAnsi="方正小标宋简体" w:eastAsia="方正小标宋简体" w:cs="方正小标宋简体"/>
          <w:sz w:val="44"/>
          <w:szCs w:val="44"/>
          <w:lang w:eastAsia="zh-CN"/>
        </w:rPr>
        <w:t>新</w:t>
      </w:r>
      <w:r>
        <w:rPr>
          <w:rFonts w:hint="eastAsia" w:ascii="方正小标宋简体" w:hAnsi="方正小标宋简体" w:eastAsia="方正小标宋简体" w:cs="方正小标宋简体"/>
          <w:sz w:val="44"/>
          <w:szCs w:val="44"/>
        </w:rPr>
        <w:t>”</w:t>
      </w:r>
    </w:p>
    <w:p>
      <w:pPr>
        <w:spacing w:line="552"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促消费活动诚信承诺函</w:t>
      </w:r>
    </w:p>
    <w:p>
      <w:pPr>
        <w:keepNext w:val="0"/>
        <w:keepLines w:val="0"/>
        <w:pageBreakBefore w:val="0"/>
        <w:widowControl w:val="0"/>
        <w:kinsoku/>
        <w:wordWrap/>
        <w:overflowPunct/>
        <w:topLinePunct w:val="0"/>
        <w:autoSpaceDE/>
        <w:autoSpaceDN/>
        <w:bidi w:val="0"/>
        <w:adjustRightInd/>
        <w:snapToGrid/>
        <w:spacing w:before="157" w:beforeLines="50" w:line="480" w:lineRule="exact"/>
        <w:jc w:val="center"/>
        <w:textAlignment w:val="auto"/>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（本承诺函请双面打印）</w:t>
      </w:r>
    </w:p>
    <w:p>
      <w:pPr>
        <w:adjustRightInd w:val="0"/>
        <w:snapToGrid w:val="0"/>
        <w:spacing w:line="480" w:lineRule="exact"/>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eastAsia" w:ascii="仿宋" w:hAnsi="仿宋" w:eastAsia="仿宋" w:cs="仿宋"/>
          <w:sz w:val="24"/>
          <w:szCs w:val="24"/>
        </w:rPr>
      </w:pPr>
      <w:r>
        <w:rPr>
          <w:rFonts w:hint="eastAsia" w:ascii="仿宋" w:hAnsi="仿宋" w:eastAsia="仿宋" w:cs="仿宋"/>
          <w:sz w:val="24"/>
          <w:szCs w:val="24"/>
        </w:rPr>
        <w:t>珠海市住房和城乡建设局：</w:t>
      </w:r>
    </w:p>
    <w:p>
      <w:pPr>
        <w:keepNext w:val="0"/>
        <w:keepLines w:val="0"/>
        <w:pageBreakBefore w:val="0"/>
        <w:widowControl w:val="0"/>
        <w:kinsoku/>
        <w:wordWrap/>
        <w:overflowPunct/>
        <w:topLinePunct w:val="0"/>
        <w:autoSpaceDE/>
        <w:autoSpaceDN/>
        <w:bidi w:val="0"/>
        <w:snapToGrid w:val="0"/>
        <w:spacing w:line="42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本单位自愿参加珠海市2024年珠海市家装家居“</w:t>
      </w:r>
      <w:r>
        <w:rPr>
          <w:rFonts w:hint="eastAsia" w:ascii="仿宋" w:hAnsi="仿宋" w:eastAsia="仿宋" w:cs="仿宋"/>
          <w:sz w:val="24"/>
          <w:szCs w:val="24"/>
          <w:lang w:val="en-US" w:eastAsia="zh-CN"/>
        </w:rPr>
        <w:t>焕</w:t>
      </w:r>
      <w:r>
        <w:rPr>
          <w:rFonts w:hint="eastAsia" w:ascii="仿宋" w:hAnsi="仿宋" w:eastAsia="仿宋" w:cs="仿宋"/>
          <w:sz w:val="24"/>
          <w:szCs w:val="24"/>
          <w:lang w:eastAsia="zh-CN"/>
        </w:rPr>
        <w:t>新</w:t>
      </w:r>
      <w:r>
        <w:rPr>
          <w:rFonts w:hint="eastAsia" w:ascii="仿宋" w:hAnsi="仿宋" w:eastAsia="仿宋" w:cs="仿宋"/>
          <w:sz w:val="24"/>
          <w:szCs w:val="24"/>
        </w:rPr>
        <w:t>”促消费活动,了解并遵守以下规则要求，并承诺以下事项：</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黑体" w:hAnsi="黑体" w:eastAsia="黑体" w:cs="黑体"/>
          <w:sz w:val="24"/>
          <w:szCs w:val="24"/>
        </w:rPr>
      </w:pPr>
      <w:r>
        <w:rPr>
          <w:rFonts w:hint="eastAsia" w:ascii="黑体" w:hAnsi="黑体" w:eastAsia="黑体" w:cs="黑体"/>
          <w:sz w:val="24"/>
          <w:szCs w:val="24"/>
        </w:rPr>
        <w:t>一、承诺以下事项</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1.本企业承诺是：（1）</w:t>
      </w:r>
      <w:r>
        <w:rPr>
          <w:rFonts w:hint="eastAsia" w:ascii="仿宋" w:hAnsi="仿宋" w:eastAsia="仿宋" w:cs="仿宋"/>
          <w:sz w:val="24"/>
          <w:szCs w:val="24"/>
          <w:lang w:eastAsia="zh-CN"/>
        </w:rPr>
        <w:t>□</w:t>
      </w:r>
      <w:r>
        <w:rPr>
          <w:rFonts w:hint="eastAsia" w:ascii="仿宋" w:hAnsi="仿宋" w:eastAsia="仿宋" w:cs="仿宋"/>
          <w:sz w:val="24"/>
          <w:szCs w:val="24"/>
        </w:rPr>
        <w:t>在珠海市内注册的，□目前已纳入/□承诺2024年内纳入“国家统计局统计联网直报平台”的家装家居销售企业；（2）□在珠海市内注册的并目前已纳入“国家统计局统计联网直报平台”的家装家居销售企业在珠海市的授权专卖店。（备注：请根据实际在对应的□内打钩）</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highlight w:val="none"/>
        </w:rPr>
        <w:t>不得乘机哄抬价格、变相涨价</w:t>
      </w:r>
      <w:r>
        <w:rPr>
          <w:rFonts w:hint="eastAsia" w:ascii="仿宋" w:hAnsi="仿宋" w:eastAsia="仿宋" w:cs="仿宋"/>
          <w:sz w:val="24"/>
          <w:szCs w:val="24"/>
          <w:highlight w:val="none"/>
          <w:lang w:val="en-US" w:eastAsia="zh-CN"/>
        </w:rPr>
        <w:t>,</w:t>
      </w:r>
      <w:r>
        <w:rPr>
          <w:rFonts w:hint="eastAsia" w:ascii="仿宋" w:hAnsi="仿宋" w:eastAsia="仿宋" w:cs="仿宋"/>
          <w:sz w:val="24"/>
          <w:szCs w:val="24"/>
          <w:lang w:val="en-US" w:eastAsia="zh-CN"/>
        </w:rPr>
        <w:t>参加</w:t>
      </w:r>
      <w:r>
        <w:rPr>
          <w:rFonts w:hint="eastAsia" w:ascii="仿宋" w:hAnsi="仿宋" w:eastAsia="仿宋" w:cs="仿宋"/>
          <w:sz w:val="24"/>
          <w:szCs w:val="24"/>
        </w:rPr>
        <w:t>“</w:t>
      </w:r>
      <w:r>
        <w:rPr>
          <w:rFonts w:hint="eastAsia" w:ascii="仿宋" w:hAnsi="仿宋" w:eastAsia="仿宋" w:cs="仿宋"/>
          <w:sz w:val="24"/>
          <w:szCs w:val="24"/>
          <w:lang w:val="en-US" w:eastAsia="zh-CN"/>
        </w:rPr>
        <w:t>焕</w:t>
      </w:r>
      <w:r>
        <w:rPr>
          <w:rFonts w:hint="eastAsia" w:ascii="仿宋" w:hAnsi="仿宋" w:eastAsia="仿宋" w:cs="仿宋"/>
          <w:sz w:val="24"/>
          <w:szCs w:val="24"/>
          <w:lang w:eastAsia="zh-CN"/>
        </w:rPr>
        <w:t>新</w:t>
      </w:r>
      <w:r>
        <w:rPr>
          <w:rFonts w:hint="eastAsia" w:ascii="仿宋" w:hAnsi="仿宋" w:eastAsia="仿宋" w:cs="仿宋"/>
          <w:sz w:val="24"/>
          <w:szCs w:val="24"/>
        </w:rPr>
        <w:t>”</w:t>
      </w:r>
      <w:r>
        <w:rPr>
          <w:rFonts w:hint="eastAsia" w:ascii="仿宋" w:hAnsi="仿宋" w:eastAsia="仿宋" w:cs="仿宋"/>
          <w:sz w:val="24"/>
          <w:szCs w:val="24"/>
          <w:lang w:val="en-US" w:eastAsia="zh-CN"/>
        </w:rPr>
        <w:t>活动</w:t>
      </w:r>
      <w:r>
        <w:rPr>
          <w:rFonts w:hint="eastAsia" w:ascii="仿宋" w:hAnsi="仿宋" w:eastAsia="仿宋" w:cs="仿宋"/>
          <w:sz w:val="24"/>
          <w:szCs w:val="24"/>
        </w:rPr>
        <w:t>的</w:t>
      </w:r>
      <w:r>
        <w:rPr>
          <w:rFonts w:hint="eastAsia" w:ascii="仿宋" w:hAnsi="仿宋" w:eastAsia="仿宋" w:cs="仿宋"/>
          <w:sz w:val="24"/>
          <w:szCs w:val="24"/>
          <w:lang w:val="en-US" w:eastAsia="zh-CN"/>
        </w:rPr>
        <w:t>产品</w:t>
      </w:r>
      <w:r>
        <w:rPr>
          <w:rFonts w:hint="eastAsia" w:ascii="仿宋" w:hAnsi="仿宋" w:eastAsia="仿宋" w:cs="仿宋"/>
          <w:sz w:val="24"/>
          <w:szCs w:val="24"/>
        </w:rPr>
        <w:t>价格为正常市场价或活动优惠价。</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3.加强销售网点现场管理，杜绝商场内出现非法中介人员或驻店厂商人员向家装家居购买人兜售旧机或凭证。</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4.能及时准确地提供家装家居“</w:t>
      </w:r>
      <w:r>
        <w:rPr>
          <w:rFonts w:hint="eastAsia" w:ascii="仿宋" w:hAnsi="仿宋" w:eastAsia="仿宋" w:cs="仿宋"/>
          <w:sz w:val="24"/>
          <w:szCs w:val="24"/>
          <w:lang w:val="en-US" w:eastAsia="zh-CN"/>
        </w:rPr>
        <w:t>焕</w:t>
      </w:r>
      <w:r>
        <w:rPr>
          <w:rFonts w:hint="eastAsia" w:ascii="仿宋" w:hAnsi="仿宋" w:eastAsia="仿宋" w:cs="仿宋"/>
          <w:sz w:val="24"/>
          <w:szCs w:val="24"/>
          <w:lang w:eastAsia="zh-CN"/>
        </w:rPr>
        <w:t>新</w:t>
      </w:r>
      <w:r>
        <w:rPr>
          <w:rFonts w:hint="eastAsia" w:ascii="仿宋" w:hAnsi="仿宋" w:eastAsia="仿宋" w:cs="仿宋"/>
          <w:sz w:val="24"/>
          <w:szCs w:val="24"/>
        </w:rPr>
        <w:t>”促消费活动所需的所有信息，包括</w:t>
      </w:r>
      <w:r>
        <w:rPr>
          <w:rFonts w:hint="eastAsia" w:ascii="仿宋" w:hAnsi="仿宋" w:eastAsia="仿宋" w:cs="仿宋"/>
          <w:sz w:val="24"/>
          <w:szCs w:val="24"/>
          <w:lang w:eastAsia="zh-CN"/>
        </w:rPr>
        <w:t>产品</w:t>
      </w:r>
      <w:r>
        <w:rPr>
          <w:rFonts w:hint="eastAsia" w:ascii="仿宋" w:hAnsi="仿宋" w:eastAsia="仿宋" w:cs="仿宋"/>
          <w:sz w:val="24"/>
          <w:szCs w:val="24"/>
        </w:rPr>
        <w:t>购买人姓名、身份证件号码、手机号码，</w:t>
      </w:r>
      <w:r>
        <w:rPr>
          <w:rFonts w:hint="eastAsia" w:ascii="仿宋" w:hAnsi="仿宋" w:eastAsia="仿宋" w:cs="仿宋"/>
          <w:sz w:val="24"/>
          <w:szCs w:val="24"/>
          <w:lang w:val="en-US" w:eastAsia="zh-CN"/>
        </w:rPr>
        <w:t>产品</w:t>
      </w:r>
      <w:r>
        <w:rPr>
          <w:rFonts w:hint="eastAsia" w:ascii="仿宋" w:hAnsi="仿宋" w:eastAsia="仿宋" w:cs="仿宋"/>
          <w:sz w:val="24"/>
          <w:szCs w:val="24"/>
        </w:rPr>
        <w:t>发票号码、能效（水效）标识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装修</w:t>
      </w:r>
      <w:r>
        <w:rPr>
          <w:rFonts w:hint="eastAsia" w:ascii="仿宋" w:hAnsi="仿宋" w:eastAsia="仿宋" w:cs="仿宋"/>
          <w:sz w:val="24"/>
          <w:szCs w:val="24"/>
        </w:rPr>
        <w:t>详细地址</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与送货地址保持一致</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等</w:t>
      </w:r>
      <w:r>
        <w:rPr>
          <w:rFonts w:hint="eastAsia" w:ascii="仿宋" w:hAnsi="仿宋" w:eastAsia="仿宋" w:cs="仿宋"/>
          <w:sz w:val="24"/>
          <w:szCs w:val="24"/>
        </w:rPr>
        <w:t>。确保购买</w:t>
      </w:r>
      <w:r>
        <w:rPr>
          <w:rFonts w:hint="eastAsia" w:ascii="仿宋" w:hAnsi="仿宋" w:eastAsia="仿宋" w:cs="仿宋"/>
          <w:sz w:val="24"/>
          <w:szCs w:val="24"/>
          <w:lang w:val="en-US" w:eastAsia="zh-CN"/>
        </w:rPr>
        <w:t>产品</w:t>
      </w:r>
      <w:r>
        <w:rPr>
          <w:rFonts w:hint="eastAsia" w:ascii="仿宋" w:hAnsi="仿宋" w:eastAsia="仿宋" w:cs="仿宋"/>
          <w:sz w:val="24"/>
          <w:szCs w:val="24"/>
        </w:rPr>
        <w:t>的发票金额与该笔订单交易的金额一致。</w:t>
      </w:r>
    </w:p>
    <w:p>
      <w:pPr>
        <w:ind w:firstLine="480" w:firstLineChars="200"/>
        <w:rPr>
          <w:rFonts w:hint="eastAsia" w:ascii="仿宋" w:hAnsi="仿宋" w:eastAsia="仿宋" w:cs="仿宋"/>
          <w:sz w:val="24"/>
          <w:szCs w:val="24"/>
          <w:highlight w:val="none"/>
        </w:rPr>
      </w:pPr>
      <w:r>
        <w:rPr>
          <w:rFonts w:hint="eastAsia" w:ascii="仿宋" w:hAnsi="仿宋" w:eastAsia="仿宋" w:cs="仿宋"/>
          <w:sz w:val="24"/>
          <w:szCs w:val="24"/>
        </w:rPr>
        <w:t>5.在消费者核销购买</w:t>
      </w:r>
      <w:r>
        <w:rPr>
          <w:rFonts w:hint="eastAsia" w:ascii="仿宋" w:hAnsi="仿宋" w:eastAsia="仿宋" w:cs="仿宋"/>
          <w:sz w:val="24"/>
          <w:szCs w:val="24"/>
          <w:lang w:eastAsia="zh-CN"/>
        </w:rPr>
        <w:t>产品</w:t>
      </w:r>
      <w:r>
        <w:rPr>
          <w:rFonts w:hint="eastAsia" w:ascii="仿宋" w:hAnsi="仿宋" w:eastAsia="仿宋" w:cs="仿宋"/>
          <w:sz w:val="24"/>
          <w:szCs w:val="24"/>
        </w:rPr>
        <w:t>时，</w:t>
      </w:r>
      <w:r>
        <w:rPr>
          <w:rFonts w:hint="eastAsia" w:ascii="仿宋" w:hAnsi="仿宋" w:eastAsia="仿宋" w:cs="仿宋"/>
          <w:sz w:val="24"/>
          <w:szCs w:val="24"/>
          <w:lang w:eastAsia="zh-CN"/>
        </w:rPr>
        <w:t>产品</w:t>
      </w:r>
      <w:r>
        <w:rPr>
          <w:rFonts w:hint="eastAsia" w:ascii="仿宋" w:hAnsi="仿宋" w:eastAsia="仿宋" w:cs="仿宋"/>
          <w:sz w:val="24"/>
          <w:szCs w:val="24"/>
        </w:rPr>
        <w:t>包括</w:t>
      </w:r>
      <w:r>
        <w:rPr>
          <w:rFonts w:hint="eastAsia" w:ascii="仿宋" w:hAnsi="仿宋" w:eastAsia="仿宋" w:cs="仿宋"/>
          <w:sz w:val="24"/>
          <w:szCs w:val="24"/>
          <w:lang w:val="en-US" w:eastAsia="zh-CN"/>
        </w:rPr>
        <w:t>家装厨卫类：瓷砖及石材、涂料（含乳胶漆、艺术漆、硅藻泥等）、吊顶板材（含龙骨）、木地板、节能灯具、成品门窗及配件、卫浴洁具（含浴缸、坐便器、蹲便器、洗手盆、水龙头、花洒、浴室柜、淋浴房）、成品橱柜及配件、净水设备、洗涤设备（不含洗衣机）</w:t>
      </w:r>
      <w:r>
        <w:rPr>
          <w:rFonts w:hint="eastAsia" w:ascii="仿宋" w:hAnsi="仿宋" w:eastAsia="仿宋" w:cs="仿宋"/>
          <w:sz w:val="24"/>
          <w:szCs w:val="24"/>
          <w:lang w:eastAsia="zh-CN"/>
        </w:rPr>
        <w:t>；</w:t>
      </w:r>
      <w:r>
        <w:rPr>
          <w:rFonts w:hint="eastAsia" w:ascii="仿宋" w:hAnsi="仿宋" w:eastAsia="仿宋" w:cs="仿宋"/>
          <w:color w:val="auto"/>
          <w:kern w:val="2"/>
          <w:sz w:val="24"/>
          <w:szCs w:val="24"/>
          <w:highlight w:val="none"/>
          <w:lang w:val="en-US" w:eastAsia="zh-CN" w:bidi="ar-SA"/>
        </w:rPr>
        <w:t>智能家居类：</w:t>
      </w:r>
      <w:r>
        <w:rPr>
          <w:rFonts w:hint="eastAsia" w:ascii="仿宋" w:hAnsi="仿宋" w:eastAsia="仿宋" w:cs="仿宋"/>
          <w:sz w:val="24"/>
          <w:szCs w:val="24"/>
          <w:lang w:val="en-US" w:eastAsia="zh-CN"/>
        </w:rPr>
        <w:t>智能马桶（含智能马桶盖）、智能门锁、智能床（含智能床垫）、智能椅（含智能按摩椅）、智能晾衣机，以及智能净水机、智能洗碗机、智能消毒柜、智能扫地机器人（含智能拖地机器人）、</w:t>
      </w:r>
      <w:r>
        <w:rPr>
          <w:rFonts w:hint="eastAsia" w:ascii="仿宋" w:hAnsi="仿宋" w:eastAsia="仿宋" w:cs="仿宋"/>
          <w:sz w:val="24"/>
          <w:szCs w:val="24"/>
        </w:rPr>
        <w:t>智能电暖器、智能电饭煲、智能除湿机、智能净化器、智能蒸烤机、智能干衣机、智能衣物护理机、智能投影仪、智能电风扇、智能微波炉、智能电磁炉、智能咖啡机</w:t>
      </w:r>
      <w:r>
        <w:rPr>
          <w:rFonts w:hint="eastAsia" w:ascii="仿宋" w:hAnsi="仿宋" w:eastAsia="仿宋" w:cs="仿宋"/>
          <w:sz w:val="24"/>
          <w:szCs w:val="24"/>
          <w:lang w:val="en-US" w:eastAsia="zh-CN"/>
        </w:rPr>
        <w:t>等；</w:t>
      </w:r>
      <w:r>
        <w:rPr>
          <w:rFonts w:hint="eastAsia" w:ascii="仿宋" w:hAnsi="仿宋" w:eastAsia="仿宋" w:cs="仿宋"/>
          <w:color w:val="auto"/>
          <w:sz w:val="24"/>
          <w:szCs w:val="24"/>
          <w:highlight w:val="none"/>
          <w:lang w:val="en-US" w:eastAsia="zh-CN"/>
        </w:rPr>
        <w:t>居家适老化改造类：</w:t>
      </w:r>
      <w:r>
        <w:rPr>
          <w:rFonts w:hint="eastAsia" w:ascii="仿宋" w:hAnsi="仿宋" w:eastAsia="仿宋" w:cs="仿宋"/>
          <w:sz w:val="24"/>
          <w:szCs w:val="24"/>
          <w:lang w:val="en-US" w:eastAsia="zh-CN"/>
        </w:rPr>
        <w:t>防滑地砖及防滑地胶、辅助行走器具（含各类扶手、轮椅、自动感应灯具）、移动马桶、辅助睡眠器具（含护理床、移位机、翻身辅助器）、适老家具、适老浴具（含沐浴椅、浴帘、采暖设备、无障碍侧开门步入式浴缸）、防走失装置、安全监控装置（如烟雾、燃气、水浸报警器）、呼叫装置等。</w:t>
      </w:r>
    </w:p>
    <w:p>
      <w:pPr>
        <w:keepNext w:val="0"/>
        <w:keepLines w:val="0"/>
        <w:pageBreakBefore w:val="0"/>
        <w:widowControl w:val="0"/>
        <w:kinsoku/>
        <w:wordWrap/>
        <w:overflowPunct/>
        <w:topLinePunct w:val="0"/>
        <w:autoSpaceDE/>
        <w:autoSpaceDN/>
        <w:bidi w:val="0"/>
        <w:snapToGrid w:val="0"/>
        <w:spacing w:line="42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不得用于其他类</w:t>
      </w:r>
      <w:r>
        <w:rPr>
          <w:rFonts w:hint="eastAsia" w:ascii="仿宋" w:hAnsi="仿宋" w:eastAsia="仿宋" w:cs="仿宋"/>
          <w:sz w:val="24"/>
          <w:szCs w:val="24"/>
          <w:lang w:eastAsia="zh-CN"/>
        </w:rPr>
        <w:t>产品</w:t>
      </w:r>
      <w:r>
        <w:rPr>
          <w:rFonts w:hint="eastAsia" w:ascii="仿宋" w:hAnsi="仿宋" w:eastAsia="仿宋" w:cs="仿宋"/>
          <w:sz w:val="24"/>
          <w:szCs w:val="24"/>
        </w:rPr>
        <w:t>优惠。本单位承诺无虚假宣传、虚假交易行为。上述行为一经发现，主办方可立刻取消企业活动参与资格，向企业追回违规发放资金并将企业列入失信名单。</w:t>
      </w:r>
    </w:p>
    <w:p>
      <w:pPr>
        <w:pStyle w:val="2"/>
        <w:keepNext w:val="0"/>
        <w:keepLines w:val="0"/>
        <w:pageBreakBefore w:val="0"/>
        <w:widowControl w:val="0"/>
        <w:kinsoku/>
        <w:wordWrap/>
        <w:overflowPunct/>
        <w:topLinePunct w:val="0"/>
        <w:autoSpaceDE/>
        <w:autoSpaceDN/>
        <w:bidi w:val="0"/>
        <w:adjustRightInd w:val="0"/>
        <w:snapToGrid w:val="0"/>
        <w:spacing w:line="42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6.诚信经营，保证</w:t>
      </w:r>
      <w:r>
        <w:rPr>
          <w:rFonts w:hint="eastAsia" w:ascii="仿宋" w:hAnsi="仿宋" w:eastAsia="仿宋" w:cs="仿宋"/>
          <w:sz w:val="24"/>
          <w:szCs w:val="24"/>
          <w:lang w:eastAsia="zh-CN"/>
        </w:rPr>
        <w:t>产品</w:t>
      </w:r>
      <w:r>
        <w:rPr>
          <w:rFonts w:hint="eastAsia" w:ascii="仿宋" w:hAnsi="仿宋" w:eastAsia="仿宋" w:cs="仿宋"/>
          <w:sz w:val="24"/>
          <w:szCs w:val="24"/>
        </w:rPr>
        <w:t>质量和服务质量，杜绝假冒伪劣、以次充好、以旧充新的产品进入市场流通。主动制止任何方式套取财政资金的违反活动规则、恶意骗取优惠的行为。</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7.按要求布放活动宣传物料,须提供不少于1种宣传物料支持，如海报、收银台台卡等。</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8.承诺规范使用补贴资金，保留相应的核销凭证资料，形成台账，将相应台账资料提交给活动主办或承办方，并在第三方审计时配合提供相关审计材料。做好清算工作，按规定退回不符合条件的补贴资金。</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9.配套开展让利促销活动，扩大活动效果。</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二、主办方有权通过后台技术手段监测营销活动实施，如发现商家参与活动骗取、套利等行为，主办方有权随时终止该企业参与活动资格并追回骗取的优惠资金。具体判定依据和结果以主办方认定为准。</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三、因本单位提供的服务及产品问题引发的用户投诉、处理和争议等，应由本单位自行负责解决，主办方不承担任何责任。</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outlineLvl w:val="1"/>
        <w:rPr>
          <w:rFonts w:hint="eastAsia" w:ascii="仿宋" w:hAnsi="仿宋" w:eastAsia="仿宋" w:cs="仿宋"/>
          <w:sz w:val="24"/>
          <w:szCs w:val="24"/>
        </w:rPr>
      </w:pPr>
      <w:r>
        <w:rPr>
          <w:rFonts w:hint="eastAsia" w:ascii="仿宋" w:hAnsi="仿宋" w:eastAsia="仿宋" w:cs="仿宋"/>
          <w:sz w:val="24"/>
          <w:szCs w:val="24"/>
        </w:rPr>
        <w:t>（正文至此）</w:t>
      </w:r>
    </w:p>
    <w:p>
      <w:pPr>
        <w:pStyle w:val="6"/>
        <w:keepNext w:val="0"/>
        <w:keepLines w:val="0"/>
        <w:pageBreakBefore w:val="0"/>
        <w:widowControl w:val="0"/>
        <w:kinsoku/>
        <w:wordWrap/>
        <w:overflowPunct/>
        <w:topLinePunct w:val="0"/>
        <w:autoSpaceDE/>
        <w:autoSpaceDN/>
        <w:bidi w:val="0"/>
        <w:snapToGrid w:val="0"/>
        <w:spacing w:line="420" w:lineRule="exact"/>
        <w:textAlignment w:val="auto"/>
        <w:rPr>
          <w:rFonts w:hint="eastAsia"/>
          <w:sz w:val="24"/>
          <w:szCs w:val="24"/>
        </w:rPr>
      </w:pPr>
    </w:p>
    <w:p>
      <w:pPr>
        <w:keepNext w:val="0"/>
        <w:keepLines w:val="0"/>
        <w:pageBreakBefore w:val="0"/>
        <w:widowControl w:val="0"/>
        <w:tabs>
          <w:tab w:val="left" w:pos="0"/>
          <w:tab w:val="left" w:pos="901"/>
        </w:tabs>
        <w:kinsoku/>
        <w:wordWrap/>
        <w:overflowPunct/>
        <w:topLinePunct w:val="0"/>
        <w:autoSpaceDE/>
        <w:autoSpaceDN/>
        <w:bidi w:val="0"/>
        <w:adjustRightInd w:val="0"/>
        <w:snapToGrid w:val="0"/>
        <w:spacing w:line="42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                              单位名称（盖章）：</w:t>
      </w:r>
    </w:p>
    <w:p>
      <w:pPr>
        <w:keepNext w:val="0"/>
        <w:keepLines w:val="0"/>
        <w:pageBreakBefore w:val="0"/>
        <w:widowControl w:val="0"/>
        <w:tabs>
          <w:tab w:val="left" w:pos="0"/>
          <w:tab w:val="left" w:pos="901"/>
        </w:tabs>
        <w:kinsoku/>
        <w:wordWrap/>
        <w:overflowPunct/>
        <w:topLinePunct w:val="0"/>
        <w:autoSpaceDE/>
        <w:autoSpaceDN/>
        <w:bidi w:val="0"/>
        <w:adjustRightInd w:val="0"/>
        <w:snapToGrid w:val="0"/>
        <w:spacing w:line="420" w:lineRule="exact"/>
        <w:ind w:firstLine="3609" w:firstLineChars="1504"/>
        <w:textAlignment w:val="auto"/>
        <w:rPr>
          <w:rFonts w:hint="eastAsia" w:ascii="仿宋" w:hAnsi="仿宋" w:eastAsia="仿宋" w:cs="仿宋"/>
          <w:sz w:val="24"/>
          <w:szCs w:val="24"/>
        </w:rPr>
      </w:pPr>
      <w:r>
        <w:rPr>
          <w:rFonts w:hint="eastAsia" w:ascii="仿宋" w:hAnsi="仿宋" w:eastAsia="仿宋" w:cs="仿宋"/>
          <w:sz w:val="24"/>
          <w:szCs w:val="24"/>
        </w:rPr>
        <w:t>法人代表（签字）：</w:t>
      </w:r>
    </w:p>
    <w:p>
      <w:pPr>
        <w:keepNext w:val="0"/>
        <w:keepLines w:val="0"/>
        <w:pageBreakBefore w:val="0"/>
        <w:widowControl w:val="0"/>
        <w:tabs>
          <w:tab w:val="left" w:pos="0"/>
          <w:tab w:val="left" w:pos="901"/>
        </w:tabs>
        <w:kinsoku/>
        <w:wordWrap/>
        <w:overflowPunct/>
        <w:topLinePunct w:val="0"/>
        <w:autoSpaceDE/>
        <w:autoSpaceDN/>
        <w:bidi w:val="0"/>
        <w:adjustRightInd w:val="0"/>
        <w:snapToGrid w:val="0"/>
        <w:spacing w:line="420" w:lineRule="exact"/>
        <w:ind w:firstLine="3600" w:firstLineChars="1500"/>
        <w:textAlignment w:val="auto"/>
        <w:rPr>
          <w:rFonts w:hint="eastAsia" w:ascii="仿宋" w:hAnsi="仿宋" w:eastAsia="仿宋" w:cs="仿宋"/>
          <w:sz w:val="24"/>
          <w:szCs w:val="24"/>
        </w:rPr>
      </w:pPr>
      <w:r>
        <w:rPr>
          <w:rFonts w:hint="eastAsia" w:ascii="仿宋" w:hAnsi="仿宋" w:eastAsia="仿宋" w:cs="仿宋"/>
          <w:sz w:val="24"/>
          <w:szCs w:val="24"/>
        </w:rPr>
        <w:t>联系电话：</w:t>
      </w:r>
    </w:p>
    <w:p>
      <w:pPr>
        <w:pStyle w:val="6"/>
        <w:keepNext w:val="0"/>
        <w:keepLines w:val="0"/>
        <w:pageBreakBefore w:val="0"/>
        <w:widowControl w:val="0"/>
        <w:kinsoku/>
        <w:wordWrap/>
        <w:overflowPunct/>
        <w:topLinePunct w:val="0"/>
        <w:autoSpaceDE/>
        <w:autoSpaceDN/>
        <w:bidi w:val="0"/>
        <w:snapToGrid w:val="0"/>
        <w:spacing w:line="420" w:lineRule="exact"/>
        <w:ind w:firstLine="3720" w:firstLineChars="1550"/>
        <w:textAlignment w:val="auto"/>
        <w:rPr>
          <w:rFonts w:hint="eastAsia"/>
          <w:lang w:val="en" w:eastAsia="zh"/>
        </w:rPr>
      </w:pPr>
      <w:r>
        <w:rPr>
          <w:rFonts w:hint="eastAsia" w:ascii="仿宋" w:hAnsi="仿宋" w:eastAsia="仿宋" w:cs="仿宋"/>
          <w:sz w:val="24"/>
          <w:szCs w:val="24"/>
        </w:rPr>
        <w:t>2024年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FangSong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YTIzNTAyZjI4OGFiYjcwMTRiNWNmODJlNDMwMmEifQ=="/>
  </w:docVars>
  <w:rsids>
    <w:rsidRoot w:val="00000000"/>
    <w:rsid w:val="34295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仿宋" w:cs="Times New Roman"/>
      <w:sz w:val="32"/>
    </w:rPr>
  </w:style>
  <w:style w:type="paragraph" w:styleId="3">
    <w:name w:val="footer"/>
    <w:basedOn w:val="1"/>
    <w:qFormat/>
    <w:uiPriority w:val="0"/>
    <w:pPr>
      <w:tabs>
        <w:tab w:val="center" w:pos="4153"/>
        <w:tab w:val="right" w:pos="8306"/>
      </w:tabs>
      <w:snapToGrid w:val="0"/>
      <w:jc w:val="left"/>
    </w:pPr>
    <w:rPr>
      <w:sz w:val="18"/>
      <w:szCs w:val="18"/>
    </w:rPr>
  </w:style>
  <w:style w:type="paragraph" w:customStyle="1" w:styleId="6">
    <w:name w:val="_Style 1"/>
    <w:basedOn w:val="1"/>
    <w:qFormat/>
    <w:uiPriority w:val="0"/>
    <w:pPr>
      <w:ind w:firstLine="200" w:firstLineChars="200"/>
    </w:pPr>
    <w:rPr>
      <w:rFonts w:ascii="宋体" w:hAnsi="宋体" w:eastAsia="FangSong_GB231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2024-09-30T13:29:47Z</dcterms:created>
  <dc:creator>14623</dc:creator>
  <cp:lastModifiedBy>综合协调组 赖婷婷</cp:lastModifiedBy>
  <dcterms:modified xsi:type="dcterms:W3CDTF">2024-09-30T13:30:16Z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DC5B237EDE874BC09890634FE46C8789_12</vt:lpwstr>
  </property>
</Properties>
</file>